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a27732e" w14:textId="a27732e">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523916779" w:id="0"/>
    <w:p>
      <w:pPr>
        <w:spacing w:before="120" w:after="120" w:line="240"/>
        <w:ind w:left="0"/>
        <w:jc w:val="center"/>
      </w:pPr>
      <w:r>
        <w:rPr>
          <w:rFonts w:hint="default" w:ascii="Times New Roman" w:hAnsi="Times New Roman"/>
          <w:b/>
          <w:i w:val="false"/>
          <w:color w:val="000000"/>
          <w:sz w:val="24"/>
        </w:rPr>
        <w:t>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r>
        <w:br/>
      </w:r>
      <w:r>
        <w:rPr>
          <w:rFonts w:hint="default" w:ascii="Times New Roman" w:hAnsi="Times New Roman"/>
          <w:b/>
          <w:i w:val="false"/>
          <w:color w:val="000000"/>
          <w:sz w:val="24"/>
        </w:rPr>
        <w:t>
 Приказ Председателя Агентства Республики Казахстан по регулированию естественных монополий от 20 февраля 2009 года № 57-ОД.</w:t>
      </w:r>
    </w:p>
    <w:bookmarkEnd w:id="0"/>
    <w:p>
      <w:pPr>
        <w:spacing w:before="120" w:after="120" w:line="240"/>
        <w:ind w:left="0"/>
        <w:jc w:val="left"/>
      </w:pPr>
      <w:hyperlink w:anchor="523916779">
        <w:r>
          <w:rPr>
            <w:rFonts w:hint="default" w:ascii="Times New Roman" w:hAnsi="Times New Roman"/>
            <w:b w:val="false"/>
            <w:i w:val="false"/>
            <w:color w:val="007fcc"/>
            <w:sz w:val="24"/>
            <w:u w:val="single"/>
          </w:rPr>
          <w:t>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Приказ Председателя Агентства Республики Казахстан по регулированию естественных монополий от 20 февраля 2009 года № 57-ОД.</w:t>
        </w:r>
      </w:hyperlink>
    </w:p>
    <w:p>
      <w:pPr>
        <w:spacing w:before="120" w:after="120" w:line="240"/>
        <w:ind w:left="0"/>
        <w:jc w:val="left"/>
      </w:pPr>
      <w:hyperlink w:anchor="501586536">
        <w:r>
          <w:rPr>
            <w:rFonts w:hint="default" w:ascii="Times New Roman" w:hAnsi="Times New Roman"/>
            <w:b w:val="false"/>
            <w:i w:val="false"/>
            <w:color w:val="007fcc"/>
            <w:sz w:val="24"/>
            <w:u w:val="single"/>
          </w:rPr>
          <w:t>Утверждены приказом Председателя Агентства Республики Казахстан по регулированию естественных монополий от 20 февраля 2009 года № 57-ОД</w:t>
        </w:r>
      </w:hyperlink>
    </w:p>
    <w:p>
      <w:pPr>
        <w:spacing w:before="120" w:after="120" w:line="240"/>
        <w:ind w:left="0"/>
        <w:jc w:val="left"/>
      </w:pPr>
      <w:hyperlink w:anchor="501586537">
        <w:r>
          <w:rPr>
            <w:rFonts w:hint="default" w:ascii="Times New Roman" w:hAnsi="Times New Roman"/>
            <w:b w:val="false"/>
            <w:i w:val="false"/>
            <w:color w:val="007fcc"/>
            <w:sz w:val="24"/>
            <w:u w:val="single"/>
          </w:rPr>
          <w:t>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pPr>
        <w:spacing w:before="120" w:after="120" w:line="240"/>
        <w:ind w:left="0"/>
        <w:jc w:val="left"/>
      </w:pPr>
      <w:hyperlink w:anchor="1177385718">
        <w:r>
          <w:rPr>
            <w:rFonts w:hint="default" w:ascii="Times New Roman" w:hAnsi="Times New Roman"/>
            <w:b w:val="false"/>
            <w:i w:val="false"/>
            <w:color w:val="007fcc"/>
            <w:sz w:val="24"/>
            <w:u w:val="single"/>
          </w:rPr>
          <w:t>Глава 1. Общие положения</w:t>
        </w:r>
      </w:hyperlink>
    </w:p>
    <w:p>
      <w:pPr>
        <w:spacing w:before="120" w:after="120" w:line="240"/>
        <w:ind w:left="0"/>
        <w:jc w:val="left"/>
      </w:pPr>
      <w:hyperlink w:anchor="1177385882">
        <w:r>
          <w:rPr>
            <w:rFonts w:hint="default" w:ascii="Times New Roman" w:hAnsi="Times New Roman"/>
            <w:b w:val="false"/>
            <w:i w:val="false"/>
            <w:color w:val="007fcc"/>
            <w:sz w:val="24"/>
            <w:u w:val="single"/>
          </w:rPr>
          <w:t>Приложение 1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pPr>
        <w:spacing w:before="120" w:after="120" w:line="240"/>
        <w:ind w:left="0"/>
        <w:jc w:val="left"/>
      </w:pPr>
      <w:hyperlink w:anchor="1177385896">
        <w:r>
          <w:rPr>
            <w:rFonts w:hint="default" w:ascii="Times New Roman" w:hAnsi="Times New Roman"/>
            <w:b w:val="false"/>
            <w:i w:val="false"/>
            <w:color w:val="007fcc"/>
            <w:sz w:val="24"/>
            <w:u w:val="single"/>
          </w:rPr>
          <w:t>Приложение 2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pPr>
        <w:spacing w:before="120" w:after="120" w:line="240"/>
        <w:ind w:left="0"/>
        <w:jc w:val="left"/>
      </w:pPr>
      <w:hyperlink w:anchor="1177385897">
        <w:r>
          <w:rPr>
            <w:rFonts w:hint="default" w:ascii="Times New Roman" w:hAnsi="Times New Roman"/>
            <w:b w:val="false"/>
            <w:i w:val="false"/>
            <w:color w:val="007fcc"/>
            <w:sz w:val="24"/>
            <w:u w:val="single"/>
          </w:rPr>
          <w:t>Ведомость результатов замера активной мощности</w:t>
        </w:r>
      </w:hyperlink>
    </w:p>
    <w:p>
      <w:pPr>
        <w:spacing w:before="120" w:after="120" w:line="240"/>
        <w:ind w:left="0"/>
        <w:jc w:val="left"/>
      </w:pPr>
      <w:hyperlink w:anchor="1177385903">
        <w:r>
          <w:rPr>
            <w:rFonts w:hint="default" w:ascii="Times New Roman" w:hAnsi="Times New Roman"/>
            <w:b w:val="false"/>
            <w:i w:val="false"/>
            <w:color w:val="007fcc"/>
            <w:sz w:val="24"/>
            <w:u w:val="single"/>
          </w:rPr>
          <w:t>Приложение 3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pPr>
        <w:spacing w:before="120" w:after="120" w:line="240"/>
        <w:ind w:left="0"/>
        <w:jc w:val="left"/>
      </w:pPr>
      <w:hyperlink w:anchor="1177385904">
        <w:r>
          <w:rPr>
            <w:rFonts w:hint="default" w:ascii="Times New Roman" w:hAnsi="Times New Roman"/>
            <w:b w:val="false"/>
            <w:i w:val="false"/>
            <w:color w:val="007fcc"/>
            <w:sz w:val="24"/>
            <w:u w:val="single"/>
          </w:rPr>
          <w:t>График</w:t>
        </w:r>
      </w:hyperlink>
    </w:p>
    <w:p>
      <w:pPr>
        <w:spacing w:before="120" w:after="120" w:line="240"/>
        <w:ind w:left="0"/>
        <w:jc w:val="left"/>
      </w:pPr>
      <w:hyperlink w:anchor="1177385905">
        <w:r>
          <w:rPr>
            <w:rFonts w:hint="default" w:ascii="Times New Roman" w:hAnsi="Times New Roman"/>
            <w:b w:val="false"/>
            <w:i w:val="false"/>
            <w:color w:val="007fcc"/>
            <w:sz w:val="24"/>
            <w:u w:val="single"/>
          </w:rPr>
          <w:t>потребления электрической энергии в режимный день</w:t>
        </w:r>
      </w:hyperlink>
    </w:p>
    <w:p>
      <w:pPr>
        <w:spacing w:before="120" w:after="120" w:line="240"/>
        <w:ind w:left="0"/>
        <w:jc w:val="left"/>
      </w:pPr>
      <w:hyperlink w:anchor="1177385906">
        <w:r>
          <w:rPr>
            <w:rFonts w:hint="default" w:ascii="Times New Roman" w:hAnsi="Times New Roman"/>
            <w:b w:val="false"/>
            <w:i w:val="false"/>
            <w:color w:val="007fcc"/>
            <w:sz w:val="24"/>
            <w:u w:val="single"/>
          </w:rPr>
          <w:t>__________________ 20 __ г.</w:t>
        </w:r>
      </w:hyperlink>
    </w:p>
    <w:p>
      <w:pPr>
        <w:spacing w:before="120" w:after="120" w:line="240"/>
        <w:ind w:left="0"/>
        <w:jc w:val="left"/>
      </w:pPr>
      <w:hyperlink w:anchor="1177385915">
        <w:r>
          <w:rPr>
            <w:rFonts w:hint="default" w:ascii="Times New Roman" w:hAnsi="Times New Roman"/>
            <w:b w:val="false"/>
            <w:i w:val="false"/>
            <w:color w:val="007fcc"/>
            <w:sz w:val="24"/>
            <w:u w:val="single"/>
          </w:rPr>
          <w:t>Приложение 4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pPr>
        <w:spacing w:before="120" w:after="120" w:line="240"/>
        <w:ind w:left="0"/>
        <w:jc w:val="left"/>
      </w:pPr>
      <w:hyperlink w:anchor="1177385918">
        <w:r>
          <w:rPr>
            <w:rFonts w:hint="default" w:ascii="Times New Roman" w:hAnsi="Times New Roman"/>
            <w:b w:val="false"/>
            <w:i w:val="false"/>
            <w:color w:val="007fcc"/>
            <w:sz w:val="24"/>
            <w:u w:val="single"/>
          </w:rPr>
          <w:t>Приложение 5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bookmarkStart w:name="557633166" w:id="1"/>
    <w:p>
      <w:pPr>
        <w:spacing w:before="120" w:after="12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cc5f" w:id="2"/>
      <w:r>
        <w:rPr>
          <w:rFonts w:hint="default" w:ascii="Times New Roman" w:hAnsi="Times New Roman"/>
          <w:b w:val="false"/>
          <w:i w:val="false"/>
          <w:color w:val="ff0000"/>
          <w:sz w:val="24"/>
        </w:rPr>
        <w:t>31.01.2017</w:t>
      </w:r>
      <w:bookmarkEnd w:id="2"/>
      <w:r>
        <w:rPr>
          <w:rFonts w:hint="default" w:ascii="Times New Roman" w:hAnsi="Times New Roman"/>
          <w:b w:val="false"/>
          <w:i w:val="false"/>
          <w:color w:val="ff0000"/>
          <w:sz w:val="24"/>
        </w:rPr>
        <w:t xml:space="preserve"> г.</w:t>
      </w:r>
    </w:p>
    <w:bookmarkEnd w:id="1"/>
    <w:bookmarkStart w:name="501586526"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соответствии с подпунктом </w:t>
      </w:r>
      <w:hyperlink r:id="rId17">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w:t>
      </w:r>
      <w:hyperlink r:id="rId18">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Закона Республики Казахстан "Об электроэнергетике" ПРИКАЗЫВАЮ:</w:t>
      </w:r>
    </w:p>
    <w:bookmarkEnd w:id="3"/>
    <w:bookmarkStart w:name="501586527"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 прилагаемые 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p>
    <w:bookmarkEnd w:id="4"/>
    <w:bookmarkStart w:name="501586528"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5"/>
    <w:bookmarkStart w:name="501586529"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w:t>
      </w:r>
    </w:p>
    <w:bookmarkEnd w:id="6"/>
    <w:bookmarkStart w:name="50158653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в установленном порядке его опубликование в официальных средствах массовой информации;</w:t>
      </w:r>
    </w:p>
    <w:bookmarkEnd w:id="7"/>
    <w:bookmarkStart w:name="501586531"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End w:id="8"/>
    <w:bookmarkStart w:name="501586532"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bookmarkEnd w:id="9"/>
    <w:bookmarkStart w:name="501586533"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bookmarkEnd w:id="10"/>
    <w:bookmarkStart w:name="501586534"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Настоящий приказ вводится в действие по истечении десяти календарных дней после дня его первого официального опубликования.</w:t>
      </w:r>
    </w:p>
    <w:bookmarkEnd w:id="11"/>
    <w:bookmarkStart w:name="501586535" w:id="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Председатель Н. Алдабергенов</w:t>
      </w:r>
    </w:p>
    <w:bookmarkEnd w:id="12"/>
    <w:bookmarkStart w:name="501586536" w:id="13"/>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Председателя</w:t>
      </w:r>
      <w:r>
        <w:br/>
      </w:r>
      <w:r>
        <w:rPr>
          <w:rFonts w:hint="default" w:ascii="Times New Roman" w:hAnsi="Times New Roman"/>
          <w:b/>
          <w:i w:val="false"/>
          <w:color w:val="000000"/>
          <w:sz w:val="24"/>
        </w:rPr>
        <w:t>
Агентства Республики Казахстан</w:t>
      </w:r>
      <w:r>
        <w:br/>
      </w:r>
      <w:r>
        <w:rPr>
          <w:rFonts w:hint="default" w:ascii="Times New Roman" w:hAnsi="Times New Roman"/>
          <w:b/>
          <w:i w:val="false"/>
          <w:color w:val="000000"/>
          <w:sz w:val="24"/>
        </w:rPr>
        <w:t>
по регулированию естественных</w:t>
      </w:r>
      <w:r>
        <w:br/>
      </w:r>
      <w:r>
        <w:rPr>
          <w:rFonts w:hint="default" w:ascii="Times New Roman" w:hAnsi="Times New Roman"/>
          <w:b/>
          <w:i w:val="false"/>
          <w:color w:val="000000"/>
          <w:sz w:val="24"/>
        </w:rPr>
        <w:t>
монополий</w:t>
      </w:r>
      <w:r>
        <w:br/>
      </w:r>
      <w:r>
        <w:rPr>
          <w:rFonts w:hint="default" w:ascii="Times New Roman" w:hAnsi="Times New Roman"/>
          <w:b/>
          <w:i w:val="false"/>
          <w:color w:val="000000"/>
          <w:sz w:val="24"/>
        </w:rPr>
        <w:t>
от 20 февраля 2009 года № 57-ОД</w:t>
      </w:r>
    </w:p>
    <w:bookmarkEnd w:id="13"/>
    <w:bookmarkStart w:name="501586537" w:id="14"/>
    <w:p>
      <w:pPr>
        <w:spacing w:before="120" w:after="120" w:line="240"/>
        <w:ind w:left="0"/>
        <w:jc w:val="center"/>
      </w:pPr>
      <w:r>
        <w:rPr>
          <w:rFonts w:hint="default" w:ascii="Times New Roman" w:hAnsi="Times New Roman"/>
          <w:b/>
          <w:i w:val="false"/>
          <w:color w:val="000000"/>
          <w:sz w:val="24"/>
        </w:rPr>
        <w:t>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15.04.2009 г. № 123-ОД (см. редакцию от </w:t>
      </w:r>
      <w:hyperlink r:id="rId19">
        <w:r>
          <w:rPr>
            <w:rFonts w:hint="default" w:ascii="Times New Roman" w:hAnsi="Times New Roman"/>
            <w:b/>
            <w:i/>
            <w:color w:val="007fcc"/>
            <w:sz w:val="24"/>
            <w:u w:val="single"/>
          </w:rPr>
          <w:t>20.02.2009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"Юридическая газета" от 29.05.2009 г. № 80 1677</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31.07.2009 г. № 265-ОД (см. редакцию от </w:t>
      </w:r>
      <w:hyperlink r:id="rId20">
        <w:r>
          <w:rPr>
            <w:rFonts w:hint="default" w:ascii="Times New Roman" w:hAnsi="Times New Roman"/>
            <w:b/>
            <w:i/>
            <w:color w:val="007fcc"/>
            <w:sz w:val="24"/>
            <w:u w:val="single"/>
          </w:rPr>
          <w:t>15.04.2009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"Юридическая газета" от 18.09.2009, № 142 1739</w:t>
      </w:r>
      <w:r>
        <w:br/>
      </w:r>
      <w:r>
        <w:rPr>
          <w:rFonts w:hint="default" w:ascii="Times New Roman" w:hAnsi="Times New Roman"/>
          <w:b/>
          <w:i/>
          <w:color w:val="ff0000"/>
          <w:sz w:val="24"/>
        </w:rPr>
        <w:t xml:space="preserve">
 Настоящие Правила изменены в соответствии с Приказом и.о. Председателя Агентства РК по регулированию естественных монополий от 08.02.2011 г. № 47-ОД (см. редакцию от </w:t>
      </w:r>
      <w:hyperlink r:id="rId21">
        <w:r>
          <w:rPr>
            <w:rFonts w:hint="default" w:ascii="Times New Roman" w:hAnsi="Times New Roman"/>
            <w:b/>
            <w:i/>
            <w:color w:val="007fcc"/>
            <w:sz w:val="24"/>
            <w:u w:val="single"/>
          </w:rPr>
          <w:t>31.07.2009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14.06.2011 г., № 187 26608</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28.09.2011 г. № 298-ОД (см. редакцию от </w:t>
      </w:r>
      <w:hyperlink r:id="rId22">
        <w:r>
          <w:rPr>
            <w:rFonts w:hint="default" w:ascii="Times New Roman" w:hAnsi="Times New Roman"/>
            <w:b/>
            <w:i/>
            <w:color w:val="007fcc"/>
            <w:sz w:val="24"/>
            <w:u w:val="single"/>
          </w:rPr>
          <w:t>08.02.2011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15.10.2011 г., № 330-331 26721-26722</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07.11.2011 г. № 349-ОД (см. редакцию от </w:t>
      </w:r>
      <w:hyperlink r:id="rId23">
        <w:r>
          <w:rPr>
            <w:rFonts w:hint="default" w:ascii="Times New Roman" w:hAnsi="Times New Roman"/>
            <w:b/>
            <w:i/>
            <w:color w:val="007fcc"/>
            <w:sz w:val="24"/>
            <w:u w:val="single"/>
          </w:rPr>
          <w:t>28.09.2011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15.11.2011 г., № 363-364 26754-26755</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w:t>
      </w:r>
      <w:hyperlink r:id="rId24">
        <w:r>
          <w:rPr>
            <w:rFonts w:hint="default" w:ascii="Times New Roman" w:hAnsi="Times New Roman"/>
            <w:b/>
            <w:i/>
            <w:color w:val="007fcc"/>
            <w:sz w:val="24"/>
            <w:u w:val="single"/>
          </w:rPr>
          <w:t>12.09.2012</w:t>
        </w:r>
      </w:hyperlink>
      <w:r>
        <w:rPr>
          <w:rFonts w:hint="default" w:ascii="Times New Roman" w:hAnsi="Times New Roman"/>
          <w:b/>
          <w:i/>
          <w:color w:val="ff0000"/>
          <w:sz w:val="24"/>
        </w:rPr>
        <w:t xml:space="preserve"> г. № 232-ОД (см. редакцию от </w:t>
      </w:r>
      <w:hyperlink r:id="rId25">
        <w:r>
          <w:rPr>
            <w:rFonts w:hint="default" w:ascii="Times New Roman" w:hAnsi="Times New Roman"/>
            <w:b/>
            <w:i/>
            <w:color w:val="007fcc"/>
            <w:sz w:val="24"/>
            <w:u w:val="single"/>
          </w:rPr>
          <w:t>07.11.2011</w:t>
        </w:r>
      </w:hyperlink>
      <w:r>
        <w:rPr>
          <w:rFonts w:hint="default" w:ascii="Times New Roman" w:hAnsi="Times New Roman"/>
          <w:b/>
          <w:i/>
          <w:color w:val="ff0000"/>
          <w:sz w:val="24"/>
        </w:rPr>
        <w:t>) (подлежит введению в действие по истечении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10.11.2012 г. № 392 (27211)</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26.06.2013 г. № 185-ОД (см. редакцию от </w:t>
      </w:r>
      <w:hyperlink r:id="rId26">
        <w:r>
          <w:rPr>
            <w:rFonts w:hint="default" w:ascii="Times New Roman" w:hAnsi="Times New Roman"/>
            <w:b/>
            <w:i/>
            <w:color w:val="007fcc"/>
            <w:sz w:val="24"/>
            <w:u w:val="single"/>
          </w:rPr>
          <w:t>12.09.2012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02.11.2013 г.</w:t>
      </w:r>
      <w:r>
        <w:br/>
      </w:r>
      <w:r>
        <w:rPr>
          <w:rFonts w:hint="default" w:ascii="Times New Roman" w:hAnsi="Times New Roman"/>
          <w:b/>
          <w:i/>
          <w:color w:val="ff0000"/>
          <w:sz w:val="24"/>
        </w:rPr>
        <w:t xml:space="preserve">
 Настоящие Правила изменены в соответствии с Приказом Председателя Агентства РК по регулированию естественных монополий от 30.06.2014 г. № 148-ОД (см. редакцию от </w:t>
      </w:r>
      <w:hyperlink r:id="rId27">
        <w:r>
          <w:rPr>
            <w:rFonts w:hint="default" w:ascii="Times New Roman" w:hAnsi="Times New Roman"/>
            <w:b/>
            <w:i/>
            <w:color w:val="007fcc"/>
            <w:sz w:val="24"/>
            <w:u w:val="single"/>
          </w:rPr>
          <w:t>26.06.2013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07.08.2014 г.</w:t>
      </w:r>
      <w:r>
        <w:br/>
      </w:r>
      <w:r>
        <w:rPr>
          <w:rFonts w:hint="default" w:ascii="Times New Roman" w:hAnsi="Times New Roman"/>
          <w:b/>
          <w:i/>
          <w:color w:val="ff0000"/>
          <w:sz w:val="24"/>
        </w:rPr>
        <w:t xml:space="preserve">
 Настоящие Правила изложены в новой редакции Приказа и.о. Министра национальной экономики РК от 02.09.2016 г. № 394 (см. редакцию от </w:t>
      </w:r>
      <w:hyperlink r:id="rId28">
        <w:r>
          <w:rPr>
            <w:rFonts w:hint="default" w:ascii="Times New Roman" w:hAnsi="Times New Roman"/>
            <w:b/>
            <w:i/>
            <w:color w:val="007fcc"/>
            <w:sz w:val="24"/>
            <w:u w:val="single"/>
          </w:rPr>
          <w:t>30.06.2014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27.10.2016 г.</w:t>
      </w:r>
    </w:p>
    <w:bookmarkEnd w:id="14"/>
    <w:bookmarkStart w:name="1177385718" w:id="15"/>
    <w:p>
      <w:pPr>
        <w:spacing w:before="120" w:after="120" w:line="240"/>
        <w:ind w:left="0"/>
        <w:jc w:val="center"/>
      </w:pPr>
      <w:r>
        <w:rPr>
          <w:rFonts w:hint="default" w:ascii="Times New Roman" w:hAnsi="Times New Roman"/>
          <w:b/>
          <w:i w:val="false"/>
          <w:color w:val="000000"/>
          <w:sz w:val="24"/>
        </w:rPr>
        <w:t>Глава 1. Общие положения</w:t>
      </w:r>
    </w:p>
    <w:bookmarkEnd w:id="15"/>
    <w:bookmarkStart w:name="1177385719"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Настоящие 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(далее – Правила) разработаны в соответствии с Законом Республики Казахстан «Об электроэнергетике» и определяют порядок расчета дифференцированных тарифов на электрическую энергию по зонам суток и (или) в зависимости от объемов ее потребления физическими лицами.</w:t>
      </w:r>
    </w:p>
    <w:bookmarkEnd w:id="16"/>
    <w:bookmarkStart w:name="1177385720"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Дифференцированные тарифы на электрическую энергию по зонам суток, рассчитанные в соответствии с настоящими Правилами, применяются для потребителей энергоснабжающей организации, при наличии у них приборов многоставочного учета электрической энергии.</w:t>
      </w:r>
    </w:p>
    <w:bookmarkEnd w:id="17"/>
    <w:bookmarkStart w:name="1177385721"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Основные понятия, применяемые в настоящих Правилах:</w:t>
      </w:r>
    </w:p>
    <w:bookmarkEnd w:id="18"/>
    <w:bookmarkStart w:name="1177385722"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бюджетные организации – государственные учреждения и казенные предприятия;</w:t>
      </w:r>
    </w:p>
    <w:bookmarkEnd w:id="19"/>
    <w:bookmarkStart w:name="1177385723"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максимальный тариф – тариф на электрическую энергию, потребляемую сверх величины потребления электрической энергии для потребителей – физических лиц;</w:t>
      </w:r>
    </w:p>
    <w:bookmarkEnd w:id="20"/>
    <w:bookmarkStart w:name="1177385724"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минимальный тариф – тариф на электрическую энергию, потребляемую в пределах величины потребления электрической энергии для потребителей – физических лиц;</w:t>
      </w:r>
    </w:p>
    <w:bookmarkEnd w:id="21"/>
    <w:bookmarkStart w:name="1177385725"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22"/>
    <w:bookmarkStart w:name="1177385726"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многоставочный учет – учет потребления электрической энергии по зонам суток;</w:t>
      </w:r>
    </w:p>
    <w:bookmarkEnd w:id="23"/>
    <w:bookmarkStart w:name="1177385727"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прибор многоставочного учета – прибор учета, позволяющий контролировать потребление электроэнергии по зонам суток;</w:t>
      </w:r>
    </w:p>
    <w:bookmarkEnd w:id="24"/>
    <w:bookmarkStart w:name="1177385728"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режимный день – день максимального потребления электрической энергии, определяемого из графика нагрузки электропотребления потребителями энергоснабжающей организации, составленного по двум сезонам года;</w:t>
      </w:r>
    </w:p>
    <w:bookmarkEnd w:id="25"/>
    <w:bookmarkStart w:name="1177385729"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отпускной тариф – цена товара (работы, услуги), применяемая субъектом регулируемого рынка для его реализации;</w:t>
      </w:r>
    </w:p>
    <w:bookmarkEnd w:id="26"/>
    <w:bookmarkStart w:name="1177385730"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дифференцированные тарифы на электрическую энергию по зонам суток – различные в зависимости от времени суток тарифы на электрическую энергию, применяемые для потребителей в соответствии с настоящими Правилами;</w:t>
      </w:r>
    </w:p>
    <w:bookmarkEnd w:id="27"/>
    <w:bookmarkStart w:name="1177385731"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суточный график нагрузки – почасовой суточный график потребления электрической энергии региона в режимный день конкретного сезона;</w:t>
      </w:r>
    </w:p>
    <w:bookmarkEnd w:id="28"/>
    <w:bookmarkStart w:name="1177385732"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дифференцированные тарифы на электрическую энергию в зависимости от объемов ее потребления – различные в зависимости от объема потребления тарифы на электрическую энергию (двухуровневые или трехуровневые), применяемые для потребителей – физических лиц в соответствии с настоящими Правилами;</w:t>
      </w:r>
    </w:p>
    <w:bookmarkEnd w:id="29"/>
    <w:bookmarkStart w:name="1177385733"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использующее на основе договора электрическую энергию;</w:t>
      </w:r>
    </w:p>
    <w:bookmarkEnd w:id="30"/>
    <w:bookmarkStart w:name="1177385734"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группа потребителей – потребители, объединенные в группы по общим признакам: население, юридические лица, в том числе бюджетные организации, промышленные предприятия с присоединенной мощностью 750 кВА и более и прочие юридические лица с присоединенной мощностью менее 750 кВА;</w:t>
      </w:r>
    </w:p>
    <w:bookmarkEnd w:id="31"/>
    <w:bookmarkStart w:name="1177385735"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график электропотребления потребителя (график нагрузки потребителя) – кривая изменения по зонам суток нагрузки, графическое отображение суточного изменения объемов потребления электрической энергии;</w:t>
      </w:r>
    </w:p>
    <w:bookmarkEnd w:id="32"/>
    <w:bookmarkStart w:name="1177385736"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уполномоченный орган – государственный исполнительный орган, осуществляющий руководство деятельности в сферах естественных монополий и на регулируемых рынках;</w:t>
      </w:r>
    </w:p>
    <w:bookmarkEnd w:id="33"/>
    <w:bookmarkStart w:name="1177385737"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ведомство уполномоченного органа – Комитет по регулированию естественных монополий и защите конкуренции Министерства национальной экономики Республики Казахстан;</w:t>
      </w:r>
    </w:p>
    <w:bookmarkEnd w:id="34"/>
    <w:bookmarkStart w:name="1177385738"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договорной (заявленный) максимум нагрузки – наибольшая получасовая мощность потребителя, совпадающая по времени с часами прохождения максимума нагрузки в энергоснабжающей организации;</w:t>
      </w:r>
    </w:p>
    <w:bookmarkEnd w:id="35"/>
    <w:bookmarkStart w:name="1177385739"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предельная цена – цена товара (работы, услуги), установленная энергоснабжающей организацией на основании затрат и прибыли, необходимых для их производства и (или) реализации в соответствии с Правилами ценообразования на регулируемых рынках, утверждения и корректировки инвестиционной программы (проекта) субъекта регулируемого рынка, утвержденными приказом Министра национальной экономики Республики Казахстан от 29 декабря 2014 года № 174, зарегистрированный в Реестре государственной регистрации нормативных правовых актов за № 10594, и признанная ведомством уполномоченного органа обоснованной по результатам проведения экспертизы цены;</w:t>
      </w:r>
    </w:p>
    <w:bookmarkEnd w:id="36"/>
    <w:bookmarkStart w:name="1177385740"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37"/>
    <w:bookmarkStart w:name="1177385741"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энергоснабжающая организация – организация, осуществляющая продажу потребителям купленной электрической энергии.</w:t>
      </w:r>
    </w:p>
    <w:bookmarkEnd w:id="38"/>
    <w:bookmarkStart w:name="1177385742"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используемые в настоящих Правилах, применяются в соответствии с законодательством Республики Казахстан об электроэнергетике.</w:t>
      </w:r>
    </w:p>
    <w:bookmarkEnd w:id="39"/>
    <w:bookmarkStart w:name="1177385743"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Дифференцированные тарифы по зонам суток и (или) в зависимости от объемов ее потребления физическими лицами вводятся энергоснабжающей организацией после согласования с ведомством уполномоченного органа.</w:t>
      </w:r>
    </w:p>
    <w:bookmarkEnd w:id="40"/>
    <w:bookmarkStart w:name="1177385744"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недополучения дохода или получения необоснованного дохода энергоснабжающей организации в связи с применением потребителями дифференцированных тарифов на электрическую энергию по зонам суток и (или) в зависимости от объемов ее потребления физическими лицами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 определяемого в соответствии со статьей 7-2 Закона Республики Казахстан от 9 июля 1998 года «О естественных монополиях и регулируемых рынках».</w:t>
      </w:r>
    </w:p>
    <w:bookmarkEnd w:id="41"/>
    <w:bookmarkStart w:name="1177385745"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изменении уровня отпускного тарифа энергоснабжающая организация производит перерасчет дифференцированного тарифа по зонам суток и (или) в зависимости от объемов ее потребления физическими лицами.</w:t>
      </w:r>
    </w:p>
    <w:bookmarkEnd w:id="42"/>
    <w:bookmarkStart w:name="1177385746"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Энергоснабжающие организации не могут отказывать потребителям в реализации (продаже) электрической энергии по тарифам, дифференцированным по зонам суток и (или) в зависимости от объемов (для физических лиц) потребляемой энергии.</w:t>
      </w:r>
    </w:p>
    <w:bookmarkEnd w:id="43"/>
    <w:bookmarkStart w:name="1177385747"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Энергоснабжающие организации ежегодно выполняют расчет и согласовывают с ведомством уполномоченного органа дифференцированные тарифы на электрическую энергию по зонам суток и в зависимости от объемов ее потребления (для физических лиц).</w:t>
      </w:r>
    </w:p>
    <w:bookmarkEnd w:id="44"/>
    <w:bookmarkStart w:name="1177385748"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Энергоснабжающие организации выставляют физическим лицам (за исключением потребителей физических лиц, для которых установлены дифференцированные тарифы по зонам суток)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45"/>
    <w:bookmarkStart w:name="1177385749"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фактический период между снятиями показаний приборов учета электрической энергии потребителя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bookmarkEnd w:id="46"/>
    <w:bookmarkStart w:name="1177385750"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End w:id="47"/>
    <w:bookmarkStart w:name="1177385751"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 основанием для определения которого является адресная справка с места жительства или справка о количестве проживающих физических лиц, заверенная печатью кооператива собственников квартир.</w:t>
      </w:r>
    </w:p>
    <w:bookmarkEnd w:id="48"/>
    <w:bookmarkStart w:name="1177385752"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в населенных пунктах кооперативов собственников квартир и адресной справки с места жительства основанием для определения количества проживающих физических лиц является справка о количестве проживающих физических лиц, выданная акимом района в городе, города районного значения, поселка, села, сельского округа.</w:t>
      </w:r>
    </w:p>
    <w:bookmarkEnd w:id="49"/>
    <w:bookmarkStart w:name="1177385753"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к количеству проживающих приравнивается количество собственников или нанимателей этих помещений, основанием для определения которого являются правоустанавливающие документы.</w:t>
      </w:r>
    </w:p>
    <w:bookmarkEnd w:id="50"/>
    <w:bookmarkStart w:name="1177385754"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невозможности снятия показания приборов учета в течение двух расчетных периодов, если при этом потребитель, являющийся физическим лицом,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физического лица в текущем месяце по дифференцированным тарифам на электрическую энергию в зависимости от объемов ее потребления или по зонам суток.</w:t>
      </w:r>
    </w:p>
    <w:bookmarkEnd w:id="51"/>
    <w:bookmarkStart w:name="1177385755"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выписанном и врученном потребителю – физическому лицу.</w:t>
      </w:r>
    </w:p>
    <w:bookmarkEnd w:id="52"/>
    <w:bookmarkStart w:name="1177385756"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53"/>
    <w:bookmarkStart w:name="1177385757"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End w:id="54"/>
    <w:bookmarkStart w:name="1177385758"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Плата за потребляемую на общедомовые нужды (дежурное освещение, лифты, паркинги и другое) электрическую энергию производится по отпускному тарифу для соответствующей группы потребителей без дифференциации.</w:t>
      </w:r>
    </w:p>
    <w:bookmarkEnd w:id="55"/>
    <w:bookmarkStart w:name="1177385759"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для соответствующей группы потребителей без дифференциации.</w:t>
      </w:r>
    </w:p>
    <w:bookmarkEnd w:id="56"/>
    <w:bookmarkStart w:name="1177385760"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Настоящие Правила не предполагают одновременное применение для физических лиц дифференцированного тарифа на электрическую энергию по зонам суток и дифференцированного тарифа в зависимости от объемов ее потребления физическими лицами с применением двухуровневых или трехуровневых тарифов.</w:t>
      </w:r>
    </w:p>
    <w:bookmarkEnd w:id="57"/>
    <w:bookmarkStart w:name="1177385761" w:id="58"/>
    <w:p>
      <w:pPr>
        <w:spacing w:before="120" w:after="120" w:line="240"/>
        <w:ind w:left="0"/>
        <w:jc w:val="both"/>
      </w:pPr>
      <w:r>
        <w:rPr>
          <w:rFonts w:hint="default" w:ascii="Times New Roman" w:hAnsi="Times New Roman"/>
          <w:b/>
          <w:i w:val="false"/>
          <w:color w:val="000000"/>
          <w:sz w:val="24"/>
        </w:rPr>
        <w:t>Глава 2. Порядок дифференциации энергоснабжающими организациями тарифов на электрическую энергию по зонам суток</w:t>
      </w:r>
    </w:p>
    <w:bookmarkEnd w:id="58"/>
    <w:bookmarkStart w:name="1177385762"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Суточный график нагрузки делится на четыре зоны: «утренний максимум», «вечерний максимум», «дневной провал» и «ночной провал».</w:t>
      </w:r>
    </w:p>
    <w:bookmarkEnd w:id="59"/>
    <w:bookmarkStart w:name="1177385763"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При многоставочном учете энергоснабжающие организации используют трехзонную систему учета, за исключением потребителей – физических лиц, расходующих электрическую энергию на бытовые нужды, для которых используется двухзонная система учета.</w:t>
      </w:r>
    </w:p>
    <w:bookmarkEnd w:id="60"/>
    <w:bookmarkStart w:name="1177385764"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Трехзонная система состоит из:</w:t>
      </w:r>
    </w:p>
    <w:bookmarkEnd w:id="61"/>
    <w:bookmarkStart w:name="1177385765"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 – зоны дневного потребления электроэнергии, объединяющей «утренний максимум», «дневной провал»;</w:t>
      </w:r>
    </w:p>
    <w:bookmarkEnd w:id="62"/>
    <w:bookmarkStart w:name="1177385766"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 зоны вечернего потребления электроэнергии, совпадающей с «вечерним максимумом»;</w:t>
      </w:r>
    </w:p>
    <w:bookmarkEnd w:id="63"/>
    <w:bookmarkStart w:name="1177385767"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зоны ночного потребления, совпадающей с «ночным провалом».</w:t>
      </w:r>
    </w:p>
    <w:bookmarkEnd w:id="64"/>
    <w:bookmarkStart w:name="1177385768"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Двухзонная система состоит из:</w:t>
      </w:r>
    </w:p>
    <w:bookmarkEnd w:id="65"/>
    <w:bookmarkStart w:name="1177385769"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(УДВ) – зона дневного потребления, объединяющая – «утренний максимум», «дневной провал», «вечерний максимум»;</w:t>
      </w:r>
    </w:p>
    <w:bookmarkEnd w:id="66"/>
    <w:bookmarkStart w:name="1177385770"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 – зоны ночного потребления, совпадающей с зоной «ночной провал».</w:t>
      </w:r>
    </w:p>
    <w:bookmarkEnd w:id="67"/>
    <w:bookmarkStart w:name="1177385771"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При расчете дифференцированных тарифов на электрическую энергию по зонам суток плата за электрическую энергию (П), определяется по формуле:</w:t>
      </w:r>
    </w:p>
    <w:bookmarkEnd w:id="68"/>
    <w:bookmarkStart w:name="1177385772" w:id="69"/>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Wо*Tо (тенге), где:(1)</w:t>
      </w:r>
    </w:p>
    <w:bookmarkEnd w:id="69"/>
    <w:bookmarkStart w:name="1177385773"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 – суточный объем потребленной электрической энергии, определенный исходя из среднего значения суточных графиков нагрузки режимных дней (декабрь, июнь) в регионе (энергетической системе), кВт.ч;</w:t>
      </w:r>
    </w:p>
    <w:bookmarkEnd w:id="70"/>
    <w:bookmarkStart w:name="1177385774"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w:t>
      </w:r>
    </w:p>
    <w:bookmarkEnd w:id="71"/>
    <w:bookmarkStart w:name="1177385775"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При неизменности потребления потребителями объемов электрической энергии и платы (П) за нее, определяется тариф Тв:</w:t>
      </w:r>
    </w:p>
    <w:bookmarkEnd w:id="72"/>
    <w:bookmarkStart w:name="1177385776" w:id="73"/>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Тв = (П - Туд*Wуд - Tн*Wн)/ Wв (тенге/кВт.ч), где:(2)</w:t>
      </w:r>
    </w:p>
    <w:bookmarkEnd w:id="73"/>
    <w:bookmarkStart w:name="1177385777"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суточная плата за потребление электрической энергии конкретным потребителем;</w:t>
      </w:r>
    </w:p>
    <w:bookmarkEnd w:id="74"/>
    <w:bookmarkStart w:name="1177385778"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Wуд – объем потребления электрической энергии в период зоны (УД)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End w:id="75"/>
    <w:bookmarkStart w:name="1177385779"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Tуд – тариф за потребленную электрическую энергию в период зоны (УД), тенге/кВт.ч;</w:t>
      </w:r>
    </w:p>
    <w:bookmarkEnd w:id="76"/>
    <w:bookmarkStart w:name="1177385780"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Wн – объем потребленной электрической энергии в период зоны (Н)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End w:id="77"/>
    <w:bookmarkStart w:name="1177385781"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Тн – тариф за потребленную электрическую энергию в период зоны (Н), тенге/кВт.ч;</w:t>
      </w:r>
    </w:p>
    <w:bookmarkEnd w:id="78"/>
    <w:bookmarkStart w:name="1177385782"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Wв – объем потребления электрической энергии в период зоны (В)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End w:id="79"/>
    <w:bookmarkStart w:name="1177385783"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Тарифы ночной зоны устанавливаются по формуле:</w:t>
      </w:r>
    </w:p>
    <w:bookmarkEnd w:id="80"/>
    <w:bookmarkStart w:name="1177385784" w:id="81"/>
    <w:p>
      <w:pPr>
        <w:spacing w:before="120" w:after="120" w:line="240"/>
        <w:ind w:left="0"/>
        <w:jc w:val="center"/>
      </w:pPr>
      <w:r>
        <w:rPr>
          <w:b w:val="false"/>
          <w:i w:val="false"/>
          <w:color w:val="000000"/>
          <w:sz w:val="24"/>
        </w:rPr>
        <w:t> </w:t>
      </w:r>
      <w:r>
        <w:br/>
      </w:r>
      <w:r>
        <w:rPr>
          <w:b w:val="false"/>
          <w:i w:val="false"/>
          <w:color w:val="000000"/>
          <w:sz w:val="24"/>
        </w:rPr>
        <w:t>
</w:t>
      </w:r>
      <w:r>
        <w:drawing>
          <wp:inline distT="0" distB="0" distL="0" distR="0">
            <wp:extent cx="2933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33700" cy="889000"/>
                    </a:xfrm>
                    <a:prstGeom prst="rect">
                      <a:avLst/>
                    </a:prstGeom>
                  </pic:spPr>
                </pic:pic>
              </a:graphicData>
            </a:graphic>
          </wp:inline>
        </w:drawing>
      </w:r>
      <w:r>
        <w:rPr>
          <w:b w:val="false"/>
          <w:i w:val="false"/>
          <w:color w:val="000000"/>
          <w:sz w:val="24"/>
        </w:rPr>
        <w:t xml:space="preserve"> (3)</w:t>
      </w:r>
    </w:p>
    <w:bookmarkEnd w:id="81"/>
    <w:bookmarkStart w:name="1177385785" w:id="82"/>
    <w:p>
      <w:pPr>
        <w:spacing w:before="120" w:after="120" w:line="240"/>
        <w:ind w:left="0"/>
        <w:jc w:val="both"/>
      </w:pPr>
      <w:r>
        <w:rPr>
          <w:rFonts w:hint="default" w:ascii="Times New Roman" w:hAnsi="Times New Roman"/>
          <w:b w:val="false"/>
          <w:i w:val="false"/>
          <w:color w:val="000000"/>
          <w:sz w:val="24"/>
        </w:rPr>
        <w:t>где:</w:t>
      </w: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58800" cy="330200"/>
                    </a:xfrm>
                    <a:prstGeom prst="rect">
                      <a:avLst/>
                    </a:prstGeom>
                  </pic:spPr>
                </pic:pic>
              </a:graphicData>
            </a:graphic>
          </wp:inline>
        </w:drawing>
      </w:r>
      <w:r>
        <w:rPr>
          <w:rFonts w:hint="default" w:ascii="Times New Roman" w:hAnsi="Times New Roman"/>
          <w:b w:val="false"/>
          <w:i w:val="false"/>
          <w:color w:val="000000"/>
          <w:sz w:val="24"/>
        </w:rPr>
        <w:t xml:space="preserve"> – затраты на покупку электрической энергии указанные в согласованной предельной цене;</w:t>
      </w:r>
    </w:p>
    <w:bookmarkEnd w:id="82"/>
    <w:bookmarkStart w:name="1177385786" w:id="83"/>
    <w:p>
      <w:pPr>
        <w:spacing w:before="120" w:after="120" w:line="24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33400" cy="279400"/>
                    </a:xfrm>
                    <a:prstGeom prst="rect">
                      <a:avLst/>
                    </a:prstGeom>
                  </pic:spPr>
                </pic:pic>
              </a:graphicData>
            </a:graphic>
          </wp:inline>
        </w:drawing>
      </w:r>
      <w:r>
        <w:rPr>
          <w:rFonts w:hint="default" w:ascii="Times New Roman" w:hAnsi="Times New Roman"/>
          <w:b w:val="false"/>
          <w:i w:val="false"/>
          <w:color w:val="000000"/>
          <w:sz w:val="24"/>
        </w:rPr>
        <w:t xml:space="preserve"> – объем покупной электрической энергии.</w:t>
      </w:r>
    </w:p>
    <w:bookmarkEnd w:id="83"/>
    <w:bookmarkStart w:name="1177385787"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Для промышленных и приравненных к ним потребителей с присоединенной мощностью 750 кВА и выше тариф за потребленную электрическую энергию (Туд) в период зоны (УД) определяется по формуле:</w:t>
      </w:r>
    </w:p>
    <w:bookmarkEnd w:id="84"/>
    <w:bookmarkStart w:name="1177385788" w:id="85"/>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Туд = П / Wо, где:(4)</w:t>
      </w:r>
    </w:p>
    <w:bookmarkEnd w:id="85"/>
    <w:bookmarkStart w:name="1177385789"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 – суточный объем потребленной электрической энергии, кВт.ч.</w:t>
      </w:r>
    </w:p>
    <w:bookmarkEnd w:id="86"/>
    <w:bookmarkStart w:name="1177385790"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Тариф ночной зоны определяется по формуле (3).</w:t>
      </w:r>
    </w:p>
    <w:bookmarkEnd w:id="87"/>
    <w:bookmarkStart w:name="1177385791"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Тариф (Тв) за потребленную электрическую энергию в часы максимального потребления зоны (В) определяется по формуле (2).</w:t>
      </w:r>
    </w:p>
    <w:bookmarkEnd w:id="88"/>
    <w:bookmarkStart w:name="1177385792"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Для групп потребителей с присоединенной мощностью ниже 750 кВА тариф за потребленную электрическую энергию (Туд) в период зоны (УД) принимается:</w:t>
      </w:r>
    </w:p>
    <w:bookmarkEnd w:id="89"/>
    <w:bookmarkStart w:name="1177385793" w:id="90"/>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Туд = То (5);</w:t>
      </w:r>
    </w:p>
    <w:bookmarkEnd w:id="90"/>
    <w:bookmarkStart w:name="1177385794"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Плата за электрическую энергию по тарифам, дифференцированным по зонам суток, для бюджетных организаций определяется на основе следующих положений:</w:t>
      </w:r>
    </w:p>
    <w:bookmarkEnd w:id="91"/>
    <w:bookmarkStart w:name="1177385795"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тарифы ночной зоны (Тн) устанавливаются по формуле (3);</w:t>
      </w:r>
    </w:p>
    <w:bookmarkEnd w:id="92"/>
    <w:bookmarkStart w:name="1177385796"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тарифы дневной зоны потребления электрической энергии (Туд) рассчитываются по формуле (5);</w:t>
      </w:r>
    </w:p>
    <w:bookmarkEnd w:id="93"/>
    <w:bookmarkStart w:name="1177385797"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тариф за потребленную электроэнергию в часы максимального потребления (Тв) определяется по формуле (2).</w:t>
      </w:r>
    </w:p>
    <w:bookmarkEnd w:id="94"/>
    <w:bookmarkStart w:name="1177385798"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дифференциации тарифов на электрическую энергию по группам потребителей тарифы на электрическую энергию, дифференцированные по зонам суток для бюджетных организаций, определяется исходя из отпускного тарифа для соответствующей группы потребителей.</w:t>
      </w:r>
    </w:p>
    <w:bookmarkEnd w:id="95"/>
    <w:bookmarkStart w:name="1177385799"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Плата по тарифам, дифференцированным по зонам суток за электрическую энергию, расходуемую на бытовые нужды для потребителей – физических лиц, использующих двухзонную систему учета, определяется на основе следующих положений:</w:t>
      </w:r>
    </w:p>
    <w:bookmarkEnd w:id="96"/>
    <w:bookmarkStart w:name="1177385800"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тарифы ночной зоны устанавливаются по формуле (3);</w:t>
      </w:r>
    </w:p>
    <w:bookmarkEnd w:id="97"/>
    <w:bookmarkStart w:name="117738580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тарифы дневной зоны потребления электрической энергии (Тудв) рассчитываются по формуле:</w:t>
      </w:r>
    </w:p>
    <w:bookmarkEnd w:id="98"/>
    <w:bookmarkStart w:name="1177385802" w:id="99"/>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Тудв = (П - Тн * Wн)/Wудв, где: (6)</w:t>
      </w:r>
    </w:p>
    <w:bookmarkEnd w:id="99"/>
    <w:bookmarkStart w:name="1177385803"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Wудв – объем потребления электрической энергии в период зоны (УДВ)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End w:id="100"/>
    <w:bookmarkStart w:name="1177385804"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Энергоснабжающая организация изменяет уровень дифференцированного тарифа по зонам суток при изменении отпускного тарифа на электрическую энергию.</w:t>
      </w:r>
    </w:p>
    <w:bookmarkEnd w:id="101"/>
    <w:bookmarkStart w:name="117738580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Потребители электрической энергии, являющиеся физическими лицами, использующими электрическую энергию на бытовые нужды при наличии прибора многоставочного учета в любое время обращаются в энергоснабжающую организацию с заявкой на установление дифференцированных тарифов по зонам суток.</w:t>
      </w:r>
    </w:p>
    <w:bookmarkEnd w:id="102"/>
    <w:bookmarkStart w:name="1177385806"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Потребители электрической энергии, являющиеся юридическими лицами, приобретающими электрическую энергию у энергоснабжающих организаций (за исключением юридических лиц, из под учета которых подключены субпотребители, использующие электроэнергию на бытовые нужды, в том числе осуществляющие расчеты по общему прибору учета), устанавливают приборы многоставочного учета, обращаются в энергоснабжающую организацию с заявкой на установление дифференцированных тарифов по зонам суток и производят оплату за потребленную электроэнергию по дифференцированным по зонам суток тарифам.</w:t>
      </w:r>
    </w:p>
    <w:bookmarkEnd w:id="103"/>
    <w:bookmarkStart w:name="1177385807"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К заявке для промышленных и приравненных к ним потребителей с присоединенной мощностью 750 кВА и выше </w:t>
      </w:r>
      <w:hyperlink r:id="rId32">
        <w:r>
          <w:rPr>
            <w:rFonts w:hint="default" w:ascii="Times New Roman" w:hAnsi="Times New Roman"/>
            <w:b w:val="false"/>
            <w:i w:val="false"/>
            <w:color w:val="007fcc"/>
            <w:sz w:val="24"/>
            <w:u w:val="single"/>
          </w:rPr>
          <w:t>прилагаются</w:t>
        </w:r>
      </w:hyperlink>
      <w:r>
        <w:rPr>
          <w:rFonts w:hint="default" w:ascii="Times New Roman" w:hAnsi="Times New Roman"/>
          <w:b w:val="false"/>
          <w:i w:val="false"/>
          <w:color w:val="000000"/>
          <w:sz w:val="24"/>
        </w:rPr>
        <w:t xml:space="preserve"> следующие документы:</w:t>
      </w:r>
    </w:p>
    <w:bookmarkEnd w:id="104"/>
    <w:bookmarkStart w:name="1177385808"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суточные графики потребления активной энергии, ведомости результатов замера активной мощности, согласно Приложениям 1 , 2 ;</w:t>
      </w:r>
    </w:p>
    <w:bookmarkEnd w:id="105"/>
    <w:bookmarkStart w:name="1177385809"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карты детального описания технологического процесса.</w:t>
      </w:r>
    </w:p>
    <w:bookmarkEnd w:id="106"/>
    <w:bookmarkStart w:name="1177385810"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Для остальных групп потребителей с присоединенной мощностью ниже 750 кВА, в том числе бюджетных организаций, а так же регионов, где отсутствует дифференциация тарифов по группам потребителей, представление графиков потребления электрической энергии не требуется.</w:t>
      </w:r>
    </w:p>
    <w:bookmarkEnd w:id="107"/>
    <w:bookmarkStart w:name="1177385811" w:id="108"/>
    <w:p>
      <w:pPr>
        <w:spacing w:before="120" w:after="120" w:line="240"/>
        <w:ind w:left="0"/>
        <w:jc w:val="both"/>
      </w:pPr>
      <w:r>
        <w:rPr>
          <w:rFonts w:hint="default" w:ascii="Times New Roman" w:hAnsi="Times New Roman"/>
          <w:b/>
          <w:i w:val="false"/>
          <w:color w:val="000000"/>
          <w:sz w:val="24"/>
        </w:rPr>
        <w:t>Глава 3. Порядок дифференциации энергоснабжающими организациями тарифов на электрическую энергию в зависимости от объемов ее потребления физическими лицами с применением двухуровневых тарифов</w:t>
      </w:r>
    </w:p>
    <w:bookmarkEnd w:id="108"/>
    <w:bookmarkStart w:name="1177385812"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 При этом, к физическим лицам,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109"/>
    <w:bookmarkStart w:name="1177385813"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110"/>
    <w:bookmarkStart w:name="1177385814"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двухуровневых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111"/>
    <w:bookmarkStart w:name="1177385815"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максимальному тарифу, определяется с учетом критериев, создающих у потребителей стимулы для энергосбережения и обеспечивающих социальную защиту населения.</w:t>
      </w:r>
    </w:p>
    <w:bookmarkEnd w:id="112"/>
    <w:bookmarkStart w:name="1177385816"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При расчете дифференцированных тарифов на электрическую энергию в зависимости от объемов ее потребления физическими лицами с применением двухуровневых тарифов максимальный тариф (Т макс), определяется по формуле:</w:t>
      </w:r>
    </w:p>
    <w:bookmarkEnd w:id="113"/>
    <w:bookmarkStart w:name="1177385817" w:id="114"/>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 макс = 1,2*То, где: (7)</w:t>
      </w:r>
    </w:p>
    <w:bookmarkEnd w:id="114"/>
    <w:bookmarkStart w:name="1177385818"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 для соответствующей группы потребителей.</w:t>
      </w:r>
    </w:p>
    <w:bookmarkEnd w:id="115"/>
    <w:bookmarkStart w:name="1177385819"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двухуровневых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определяется исходя из отпускного тарифа для соответствующей группы потребителей.</w:t>
      </w:r>
    </w:p>
    <w:bookmarkEnd w:id="116"/>
    <w:bookmarkStart w:name="1177385820"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Минимальный тариф для физических лиц, использующих электрические плиты (Тмин1), определяется по формуле:</w:t>
      </w:r>
    </w:p>
    <w:bookmarkEnd w:id="117"/>
    <w:bookmarkStart w:name="1177385821" w:id="118"/>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Тмин1 = (Tо*Wбыт1 - Тмакс*(Wбыт1 - k*Wмин1)) / (k*Wмин1), где: (8)</w:t>
      </w:r>
    </w:p>
    <w:bookmarkEnd w:id="118"/>
    <w:bookmarkStart w:name="1177385822"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Wбыт1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bookmarkEnd w:id="119"/>
    <w:bookmarkStart w:name="1177385823"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Wмин1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величины потребления электрической энергии, кВт.ч.;</w:t>
      </w:r>
    </w:p>
    <w:bookmarkEnd w:id="120"/>
    <w:bookmarkStart w:name="1177385824"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k – коэффициент перераспределения объемов потребления физическими лицами электрической энергии с учетом энергосбережения, при первом применении настоящих Правил k=1,1, в последующем k=1.</w:t>
      </w:r>
    </w:p>
    <w:bookmarkEnd w:id="121"/>
    <w:bookmarkStart w:name="1177385825"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Минимальный тариф для физических лиц, не использующих электрические плиты (Тмин2), определяется по формуле:</w:t>
      </w:r>
    </w:p>
    <w:bookmarkEnd w:id="122"/>
    <w:bookmarkStart w:name="1177385826" w:id="123"/>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Тмин2 = (Tо*Wбыт2 - Тмакс*(Wбыт2 - k*Wмин2)) / (k*Wмин2), где: (9)</w:t>
      </w:r>
    </w:p>
    <w:bookmarkEnd w:id="123"/>
    <w:bookmarkStart w:name="1177385827"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Wбыт2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bookmarkEnd w:id="124"/>
    <w:bookmarkStart w:name="1177385828"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Wмин2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величины потребления электрической энергии, кВт.ч.</w:t>
      </w:r>
    </w:p>
    <w:bookmarkEnd w:id="125"/>
    <w:bookmarkStart w:name="1177385829"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126"/>
    <w:bookmarkStart w:name="1177385830" w:id="127"/>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П= Тмин*Wфакт где: (10)</w:t>
      </w:r>
    </w:p>
    <w:bookmarkEnd w:id="127"/>
    <w:bookmarkStart w:name="1177385831"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плата за электрическую энергию, потребленную за расчетный месяц, тенге;</w:t>
      </w:r>
    </w:p>
    <w:bookmarkEnd w:id="128"/>
    <w:bookmarkStart w:name="1177385832"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Wфакт – фактический объем потребленной электрической энергии за расчетный месяц по показаниям прибора учета, кВт.ч.</w:t>
      </w:r>
    </w:p>
    <w:bookmarkEnd w:id="129"/>
    <w:bookmarkStart w:name="1177385833"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130"/>
    <w:bookmarkStart w:name="1177385834" w:id="131"/>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Пмакс = Тмин*n * Wлим + Тмакс*(Wфакт - n * Wлим), где: (11)</w:t>
      </w:r>
    </w:p>
    <w:bookmarkEnd w:id="131"/>
    <w:bookmarkStart w:name="1177385835"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Wлим – величина потребления электрической энергии одним физическим лицом, за превышение которого взимается плата по максимальному тарифу, кВт.ч,</w:t>
      </w:r>
    </w:p>
    <w:bookmarkEnd w:id="132"/>
    <w:bookmarkStart w:name="1177385836"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 количество проживающих физических лиц.</w:t>
      </w:r>
    </w:p>
    <w:bookmarkEnd w:id="133"/>
    <w:bookmarkStart w:name="1177385837" w:id="134"/>
    <w:p>
      <w:pPr>
        <w:spacing w:before="120" w:after="120" w:line="240"/>
        <w:ind w:left="0"/>
        <w:jc w:val="both"/>
      </w:pPr>
      <w:r>
        <w:rPr>
          <w:rFonts w:hint="default" w:ascii="Times New Roman" w:hAnsi="Times New Roman"/>
          <w:b/>
          <w:i w:val="false"/>
          <w:color w:val="000000"/>
          <w:sz w:val="24"/>
        </w:rPr>
        <w:t>Глава 4. Порядок дифференциации энергоснабжающими организациями тарифов на электрическую энергию в зависимости от объемов ее потребления физическими лицами с применением трехуровневых тарифов</w:t>
      </w:r>
    </w:p>
    <w:bookmarkEnd w:id="134"/>
    <w:bookmarkStart w:name="117738583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Величины потребления электрической энергии, за превышение которых взимается плата по тарифам второго или третьего уровня, устанавливаются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w:t>
      </w:r>
    </w:p>
    <w:bookmarkEnd w:id="135"/>
    <w:bookmarkStart w:name="117738583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физическим лицам,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136"/>
    <w:bookmarkStart w:name="1177385840"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трехуровневых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137"/>
    <w:bookmarkStart w:name="1177385841"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второго уровня (далее – V2), определяется с учетом критериев, создающих у потребителей стимулы для энергосбережения и обеспечивающих социальную защиту населения.</w:t>
      </w:r>
    </w:p>
    <w:bookmarkEnd w:id="138"/>
    <w:bookmarkStart w:name="1177385842"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третьего уровня (далее – V3), определяется с учетом критериев, создающих стимулы для энергосбережения у потребителей, имеющих наиболее высокое потребление, количество которых не превышает 10-15 % от общего количества потребителей.</w:t>
      </w:r>
    </w:p>
    <w:bookmarkEnd w:id="139"/>
    <w:bookmarkStart w:name="1177385843"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третьего уровня,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140"/>
    <w:bookmarkStart w:name="1177385844"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Тариф первого уровня для физических лиц, использующих электрические плиты (Т1 с э/п), определяется по формуле:</w:t>
      </w:r>
    </w:p>
    <w:bookmarkEnd w:id="141"/>
    <w:bookmarkStart w:name="1177385845" w:id="142"/>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Т1 с э/п = (Tо * Wо с э/п - Т2 * W2 с э/п - Т3 * W3 с э/п)/W1 с э/п, где: (12)</w:t>
      </w:r>
    </w:p>
    <w:bookmarkEnd w:id="142"/>
    <w:bookmarkStart w:name="1177385846"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Т2 – тариф второго уровня, определенный по формуле 14;</w:t>
      </w:r>
    </w:p>
    <w:bookmarkEnd w:id="143"/>
    <w:bookmarkStart w:name="1177385847"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Т3 – тариф третьего уровня, определенный по формуле 15;</w:t>
      </w:r>
    </w:p>
    <w:bookmarkEnd w:id="144"/>
    <w:bookmarkStart w:name="1177385848"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 с э/п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bookmarkEnd w:id="145"/>
    <w:bookmarkStart w:name="1177385849"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W1 с э/п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V2, кВт.ч.;</w:t>
      </w:r>
    </w:p>
    <w:bookmarkEnd w:id="146"/>
    <w:bookmarkStart w:name="1177385850"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W2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V2, но в пределах V3, кВт.ч.;</w:t>
      </w:r>
    </w:p>
    <w:bookmarkEnd w:id="147"/>
    <w:bookmarkStart w:name="117738585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W3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V3, кВт.ч.</w:t>
      </w:r>
    </w:p>
    <w:bookmarkEnd w:id="148"/>
    <w:bookmarkStart w:name="117738585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Тариф первого уровня для физических лиц, не использующих электрические плиты (Т1 без э/п), определяется по формуле:</w:t>
      </w:r>
    </w:p>
    <w:bookmarkEnd w:id="149"/>
    <w:bookmarkStart w:name="1177385853" w:id="150"/>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Т1 без э/п = (Tо * Wо без э/п - Т2 * W2 без э/п - Т3 * W3 без э/п)/W1 без э/п, где: (13)</w:t>
      </w:r>
    </w:p>
    <w:bookmarkEnd w:id="150"/>
    <w:bookmarkStart w:name="1177385854"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bookmarkEnd w:id="151"/>
    <w:bookmarkStart w:name="117738585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W1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V2, кВт.ч.;</w:t>
      </w:r>
    </w:p>
    <w:bookmarkEnd w:id="152"/>
    <w:bookmarkStart w:name="1177385856"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W2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V2, но в пределах V3, кВт.ч.;</w:t>
      </w:r>
    </w:p>
    <w:bookmarkEnd w:id="153"/>
    <w:bookmarkStart w:name="1177385857"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W3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V3, кВт.ч.</w:t>
      </w:r>
    </w:p>
    <w:bookmarkEnd w:id="154"/>
    <w:bookmarkStart w:name="1177385858"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второго уровня (Т2), определяется по формуле:</w:t>
      </w:r>
    </w:p>
    <w:bookmarkEnd w:id="155"/>
    <w:bookmarkStart w:name="1177385859" w:id="156"/>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Т2 = 1,2*То, где: (14)</w:t>
      </w:r>
    </w:p>
    <w:bookmarkEnd w:id="156"/>
    <w:bookmarkStart w:name="117738586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 для соответствующей группы потребителей.</w:t>
      </w:r>
    </w:p>
    <w:bookmarkEnd w:id="157"/>
    <w:bookmarkStart w:name="1177385861"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bookmarkEnd w:id="158"/>
    <w:bookmarkStart w:name="1177385862"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третьего уровня (Т3), определяется по формуле:</w:t>
      </w:r>
    </w:p>
    <w:bookmarkEnd w:id="159"/>
    <w:bookmarkStart w:name="1177385863" w:id="160"/>
    <w:p>
      <w:pPr>
        <w:spacing w:before="120" w:after="120" w:line="240"/>
        <w:ind w:left="0" w:firstLine="500"/>
        <w:jc w:val="center"/>
      </w:pPr>
      <w:r>
        <w:rPr>
          <w:b w:val="false"/>
          <w:i w:val="false"/>
          <w:color w:val="000000"/>
          <w:sz w:val="24"/>
        </w:rPr>
        <w:t/>
      </w:r>
      <w:r>
        <w:rPr>
          <w:b w:val="false"/>
          <w:i w:val="false"/>
          <w:color w:val="000000"/>
          <w:sz w:val="24"/>
        </w:rPr>
        <w:t> </w:t>
      </w:r>
      <w:r>
        <w:br/>
      </w:r>
      <w:r>
        <w:rPr>
          <w:b w:val="false"/>
          <w:i w:val="false"/>
          <w:color w:val="000000"/>
          <w:sz w:val="24"/>
        </w:rPr>
        <w:t>
Т3 = 1,5*То, где: (15)</w:t>
      </w:r>
    </w:p>
    <w:bookmarkEnd w:id="160"/>
    <w:bookmarkStart w:name="117738586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 для соответствующей группы потребителей.</w:t>
      </w:r>
    </w:p>
    <w:bookmarkEnd w:id="161"/>
    <w:bookmarkStart w:name="1177385865"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bookmarkEnd w:id="162"/>
    <w:bookmarkStart w:name="1177385866"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Плата за потребленную электрическую энергию за расчетный месяц (П), определяется по формулам согласно приложению 5 к настоящим Правилам.</w:t>
      </w:r>
    </w:p>
    <w:bookmarkEnd w:id="163"/>
    <w:bookmarkStart w:name="1177385867" w:id="164"/>
    <w:p>
      <w:pPr>
        <w:spacing w:before="120" w:after="120" w:line="240"/>
        <w:ind w:left="0"/>
        <w:jc w:val="both"/>
      </w:pPr>
      <w:r>
        <w:rPr>
          <w:rFonts w:hint="default" w:ascii="Times New Roman" w:hAnsi="Times New Roman"/>
          <w:b/>
          <w:i w:val="false"/>
          <w:color w:val="000000"/>
          <w:sz w:val="24"/>
        </w:rPr>
        <w:t>Глава 5. Документы, представляемые энергоснабжающей организацией в ведомство уполномоченного органа</w:t>
      </w:r>
    </w:p>
    <w:bookmarkEnd w:id="164"/>
    <w:bookmarkStart w:name="1177385868"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Для согласования уровней дифференцированных тарифов по зонам суток энергоснабжающая организация не позднее, чем за тридцать календарных дней до введения в действие дифференцированных тарифов по зонам суток представляет в ведомство уполномоченного органа следующие документы и материалы:</w:t>
      </w:r>
    </w:p>
    <w:bookmarkEnd w:id="165"/>
    <w:bookmarkStart w:name="1177385869"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пояснительную записку;</w:t>
      </w:r>
    </w:p>
    <w:bookmarkEnd w:id="166"/>
    <w:bookmarkStart w:name="1177385870"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расчет дифференцированных тарифов по зонам суток;</w:t>
      </w:r>
    </w:p>
    <w:bookmarkEnd w:id="167"/>
    <w:bookmarkStart w:name="1177385871"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 приказа об утверждении дифференцированных тарифов по зонам суток;</w:t>
      </w:r>
    </w:p>
    <w:bookmarkEnd w:id="168"/>
    <w:bookmarkStart w:name="1177385872"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суточный график нагрузки в режимные дни по двум сезонам года с выделением зон (в качестве указанных графиков для осенне – зимнего сезона возможно использование декабрьского графика рабочего дня, для весенне-летнего – июньского графика) согласно Приложению 3 .</w:t>
      </w:r>
    </w:p>
    <w:bookmarkEnd w:id="169"/>
    <w:bookmarkStart w:name="1177385873"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Для согласования уровней дифференцированных тарифов в зависимости от объемов ее потребления физическими лицами энергоснабжающая организация не позднее, чем за тридцать календарных дней до введения в действие дифференцированных тарифов в зависимости от объемов ее потребления физическими лицами представляет в ведомство уполномоченного органа следующие документы и материалы:</w:t>
      </w:r>
    </w:p>
    <w:bookmarkEnd w:id="170"/>
    <w:bookmarkStart w:name="1177385874"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пояснительную записку;</w:t>
      </w:r>
    </w:p>
    <w:bookmarkEnd w:id="171"/>
    <w:bookmarkStart w:name="1177385875"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расчет дифференцированных тарифов в зависимости от объемов ее потребления физическими лицами;</w:t>
      </w:r>
    </w:p>
    <w:bookmarkEnd w:id="172"/>
    <w:bookmarkStart w:name="1177385876"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 приказа об утверждении дифференцированных тарифов в зависимости от объемов ее потребления физическими лицами;</w:t>
      </w:r>
    </w:p>
    <w:bookmarkEnd w:id="173"/>
    <w:bookmarkStart w:name="1177385877"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информацию о дифференциации тарифов на электрическую энергию в зависимости от объемов (для физических лиц) согласно Приложению 4 с приложением обосновывающих материалов.</w:t>
      </w:r>
    </w:p>
    <w:bookmarkEnd w:id="174"/>
    <w:bookmarkStart w:name="1177385878"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Ведомство уполномоченного органа рассматривает представленные для согласования уровни дифференцированных тарифов по зонам суток и (или) в зависимости от объемов ее потребления физическими лицами документы и материалы в течение тридцати календарных дней. Срок рассмотрения исчисляется с момента подачи документов и материалов.</w:t>
      </w:r>
    </w:p>
    <w:bookmarkEnd w:id="175"/>
    <w:bookmarkStart w:name="1177385879"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Ведомство уполномоченного органа в соответствии с подпунктом 9) пункта 1 статьи 14 Закона Республики Казахстан «О естественных монополиях и регулируемых рынках» при необходимости запрашивает у энергоснабжающей организации дополнительную информацию, обосновывающую уровни дифференцированных тарифов по зонам суток и (или) в зависимости от объемов ее потребления физическими лицами.</w:t>
      </w:r>
    </w:p>
    <w:bookmarkEnd w:id="176"/>
    <w:bookmarkStart w:name="1177385880"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Энергоснабжающая организация через средства массовой информации доводит до сведения потребителей информацию о дифференцированных тарифах на электрическую энергию по зонам суток и (или) в зависимости от объемов ее потребления физическими лицами не позднее, чем за пять календарных дней до введения их в действие.</w:t>
      </w:r>
      <w:r>
        <w:br/>
      </w:r>
      <w:r>
        <w:rPr>
          <w:rFonts w:hint="default" w:ascii="Times New Roman" w:hAnsi="Times New Roman"/>
          <w:b w:val="false"/>
          <w:i/>
          <w:color w:val="ff0000"/>
          <w:sz w:val="24"/>
        </w:rPr>
        <w:t xml:space="preserve">
Пункт 49 изложен в новой редакции Приказа министра национальной экономики РК от 31.01.2017 г. № 32 (см. редакцию от </w:t>
      </w:r>
      <w:hyperlink r:id="rId33">
        <w:r>
          <w:rPr>
            <w:rFonts w:hint="default" w:ascii="Times New Roman" w:hAnsi="Times New Roman"/>
            <w:b w:val="false"/>
            <w:i/>
            <w:color w:val="007fcc"/>
            <w:sz w:val="24"/>
            <w:u w:val="single"/>
          </w:rPr>
          <w:t>02.09.2016</w:t>
        </w:r>
      </w:hyperlink>
      <w:r>
        <w:rPr>
          <w:rFonts w:hint="default" w:ascii="Times New Roman" w:hAnsi="Times New Roman"/>
          <w:b w:val="false"/>
          <w:i/>
          <w:color w:val="ff0000"/>
          <w:sz w:val="24"/>
        </w:rPr>
        <w:t xml:space="preserve"> г.) (вводится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12.06.2017 г.</w:t>
      </w:r>
    </w:p>
    <w:bookmarkEnd w:id="177"/>
    <w:bookmarkStart w:name="1177385881"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Энергоснабжающая организация ежегодно до 1 апреля и 1 октября представляет в ведомство уполномоченного органа суточный график нагрузки в режимные дни по двум сезонам года с выделением зон (в качестве указанных графиков для осенне-зимнего сезона возможно использование декабрьского графика рабочего дня, для весенне-летнего – июньского графика), согласно Приложению 3 .</w:t>
      </w:r>
    </w:p>
    <w:bookmarkEnd w:id="178"/>
    <w:bookmarkStart w:name="1177385882" w:id="179"/>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w:t>
      </w:r>
      <w:r>
        <w:br/>
      </w:r>
      <w:r>
        <w:rPr>
          <w:rFonts w:hint="default" w:ascii="Times New Roman" w:hAnsi="Times New Roman"/>
          <w:b/>
          <w:i w:val="false"/>
          <w:color w:val="000000"/>
          <w:sz w:val="24"/>
        </w:rPr>
        <w:t>
 энергию по зонам суток и (или) в</w:t>
      </w:r>
      <w:r>
        <w:br/>
      </w:r>
      <w:r>
        <w:rPr>
          <w:rFonts w:hint="default" w:ascii="Times New Roman" w:hAnsi="Times New Roman"/>
          <w:b/>
          <w:i w:val="false"/>
          <w:color w:val="000000"/>
          <w:sz w:val="24"/>
        </w:rPr>
        <w:t>
 зависимости от объемов ее</w:t>
      </w:r>
      <w:r>
        <w:br/>
      </w:r>
      <w:r>
        <w:rPr>
          <w:rFonts w:hint="default" w:ascii="Times New Roman" w:hAnsi="Times New Roman"/>
          <w:b/>
          <w:i w:val="false"/>
          <w:color w:val="000000"/>
          <w:sz w:val="24"/>
        </w:rPr>
        <w:t>
 потребления физическими лицами</w:t>
      </w:r>
    </w:p>
    <w:bookmarkEnd w:id="179"/>
    <w:bookmarkStart w:name="1177385883" w:id="180"/>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Лицевой счет</w:t>
      </w:r>
      <w:r>
        <w:br/>
      </w:r>
      <w:r>
        <w:rPr>
          <w:rFonts w:hint="default" w:ascii="Times New Roman" w:hAnsi="Times New Roman"/>
          <w:b w:val="false"/>
          <w:i w:val="false"/>
          <w:color w:val="000000"/>
          <w:sz w:val="24"/>
        </w:rPr>
        <w:t>
 ____________</w:t>
      </w:r>
    </w:p>
    <w:bookmarkEnd w:id="180"/>
    <w:bookmarkStart w:name="1177385884"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Номер п/ст, РП, фидера</w:t>
      </w:r>
    </w:p>
    <w:bookmarkEnd w:id="181"/>
    <w:bookmarkStart w:name="1177385885"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внешних сетей</w:t>
      </w:r>
    </w:p>
    <w:bookmarkEnd w:id="182"/>
    <w:bookmarkStart w:name="1177385886"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Суточный график потребления активной энергии</w:t>
      </w:r>
    </w:p>
    <w:bookmarkEnd w:id="183"/>
    <w:bookmarkStart w:name="1177385887" w:id="18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Город ______________</w:t>
      </w:r>
    </w:p>
    <w:bookmarkEnd w:id="184"/>
    <w:bookmarkStart w:name="1177385888" w:id="18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Район ______________ ___________________________________</w:t>
      </w:r>
    </w:p>
    <w:bookmarkEnd w:id="185"/>
    <w:bookmarkStart w:name="1177385889" w:id="18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РОЭС _______________(наименование предприятия)</w:t>
      </w:r>
    </w:p>
    <w:bookmarkEnd w:id="186"/>
    <w:bookmarkStart w:name="1177385890" w:id="187"/>
    <w:tbl>
      <w:tblPr>
        <w:tblW w:w="1400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975"/>
        <w:gridCol w:w="462"/>
        <w:gridCol w:w="462"/>
        <w:gridCol w:w="462"/>
        <w:gridCol w:w="462"/>
        <w:gridCol w:w="462"/>
        <w:gridCol w:w="462"/>
        <w:gridCol w:w="462"/>
        <w:gridCol w:w="483"/>
        <w:gridCol w:w="462"/>
        <w:gridCol w:w="462"/>
        <w:gridCol w:w="462"/>
        <w:gridCol w:w="462"/>
        <w:gridCol w:w="462"/>
        <w:gridCol w:w="463"/>
        <w:gridCol w:w="463"/>
        <w:gridCol w:w="463"/>
        <w:gridCol w:w="463"/>
        <w:gridCol w:w="463"/>
        <w:gridCol w:w="631"/>
        <w:gridCol w:w="463"/>
        <w:gridCol w:w="463"/>
        <w:gridCol w:w="463"/>
        <w:gridCol w:w="463"/>
        <w:gridCol w:w="463"/>
        <w:gridCol w:w="737"/>
      </w:tblGrid>
      <w:tr>
        <w:trPr>
          <w:trHeight w:val="45" w:hRule="atLeast"/>
        </w:trPr>
        <w:tc>
          <w:tcPr>
            <w:tcW w:w="197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Потребление, кВт</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Дата снятия показаний счетчиков</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Установл. мощность компенсирующих устройств _______ кВАр</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Установл. мощность силовых трансфор- маторов ________ кВА</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Суточное потребление (активное) _______ кВтч</w:t>
            </w:r>
          </w:p>
        </w:tc>
      </w:tr>
      <w:tr>
        <w:trPr>
          <w:trHeight w:val="45" w:hRule="atLeast"/>
        </w:trPr>
        <w:tc>
          <w:tcPr>
            <w:tcW w:w="1975"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83"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631"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737" w:type="dxa"/>
            <w:tcBorders>
              <w:top w:val="outset" w:color="000000" w:sz="8"/>
              <w:left w:val="outset" w:color="000000" w:sz="8"/>
              <w:bottom w:val="outset" w:color="000000" w:sz="8"/>
              <w:right w:val="outset" w:color="000000" w:sz="8"/>
            </w:tcBorders>
            <w:vAlign w:val="center"/>
          </w:tcPr>
          <w:p/>
        </w:tc>
      </w:tr>
      <w:tr>
        <w:trPr>
          <w:trHeight w:val="45" w:hRule="atLeast"/>
        </w:trPr>
        <w:tc>
          <w:tcPr>
            <w:tcW w:w="1975"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83"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631"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737" w:type="dxa"/>
            <w:tcBorders>
              <w:top w:val="outset" w:color="000000" w:sz="8"/>
              <w:left w:val="outset" w:color="000000" w:sz="8"/>
              <w:bottom w:val="outset" w:color="000000" w:sz="8"/>
              <w:right w:val="outset" w:color="000000" w:sz="8"/>
            </w:tcBorders>
            <w:vAlign w:val="center"/>
          </w:tcPr>
          <w:p/>
        </w:tc>
      </w:tr>
      <w:tr>
        <w:trPr>
          <w:trHeight w:val="45" w:hRule="atLeast"/>
        </w:trPr>
        <w:tc>
          <w:tcPr>
            <w:tcW w:w="1975"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83"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2"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631"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463" w:type="dxa"/>
            <w:tcBorders>
              <w:top w:val="outset" w:color="000000" w:sz="8"/>
              <w:left w:val="outset" w:color="000000" w:sz="8"/>
              <w:bottom w:val="outset" w:color="000000" w:sz="8"/>
              <w:right w:val="outset" w:color="000000" w:sz="8"/>
            </w:tcBorders>
            <w:vAlign w:val="center"/>
          </w:tcPr>
          <w:p/>
        </w:tc>
        <w:tc>
          <w:tcPr>
            <w:tcW w:w="737" w:type="dxa"/>
            <w:tcBorders>
              <w:top w:val="outset" w:color="000000" w:sz="8"/>
              <w:left w:val="outset" w:color="000000" w:sz="8"/>
              <w:bottom w:val="outset" w:color="000000" w:sz="8"/>
              <w:right w:val="outset" w:color="000000" w:sz="8"/>
            </w:tcBorders>
            <w:vAlign w:val="center"/>
          </w:tcPr>
          <w:p/>
        </w:tc>
      </w:tr>
    </w:tbl>
    <w:bookmarkEnd w:id="187"/>
    <w:bookmarkStart w:name="1177385891" w:id="18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Должность, фамилия, имя, отчество (при его наличии) руководителей</w:t>
      </w:r>
    </w:p>
    <w:bookmarkEnd w:id="188"/>
    <w:bookmarkStart w:name="1177385892" w:id="1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Телефон Подпись</w:t>
      </w:r>
    </w:p>
    <w:bookmarkEnd w:id="189"/>
    <w:bookmarkStart w:name="117738589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Директор</w:t>
      </w:r>
    </w:p>
    <w:bookmarkEnd w:id="190"/>
    <w:bookmarkStart w:name="117738589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Гл. инженер</w:t>
      </w:r>
    </w:p>
    <w:bookmarkEnd w:id="191"/>
    <w:bookmarkStart w:name="1177385895"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Руководитель энергослужбы</w:t>
      </w:r>
    </w:p>
    <w:bookmarkEnd w:id="192"/>
    <w:bookmarkStart w:name="1177385896" w:id="193"/>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по зонам суток и (или) в зависимости</w:t>
      </w:r>
      <w:r>
        <w:br/>
      </w:r>
      <w:r>
        <w:rPr>
          <w:rFonts w:hint="default" w:ascii="Times New Roman" w:hAnsi="Times New Roman"/>
          <w:b/>
          <w:i w:val="false"/>
          <w:color w:val="000000"/>
          <w:sz w:val="24"/>
        </w:rPr>
        <w:t>
 от объемов ее потребления</w:t>
      </w:r>
      <w:r>
        <w:br/>
      </w:r>
      <w:r>
        <w:rPr>
          <w:rFonts w:hint="default" w:ascii="Times New Roman" w:hAnsi="Times New Roman"/>
          <w:b/>
          <w:i w:val="false"/>
          <w:color w:val="000000"/>
          <w:sz w:val="24"/>
        </w:rPr>
        <w:t>
 физическими лицами</w:t>
      </w:r>
    </w:p>
    <w:bookmarkEnd w:id="193"/>
    <w:bookmarkStart w:name="1177385897" w:id="194"/>
    <w:p>
      <w:pPr>
        <w:spacing w:before="120" w:after="120" w:line="240"/>
        <w:ind w:left="0"/>
        <w:jc w:val="both"/>
      </w:pPr>
      <w:r>
        <w:rPr>
          <w:b/>
          <w:i w:val="false"/>
          <w:color w:val="000000"/>
          <w:sz w:val="24"/>
        </w:rPr>
        <w:t>  Ведомость результатов замера активной мощности</w:t>
      </w:r>
    </w:p>
    <w:bookmarkEnd w:id="194"/>
    <w:bookmarkStart w:name="1177385898" w:id="1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за ____________________________ 20 _____ г.</w:t>
      </w:r>
    </w:p>
    <w:bookmarkEnd w:id="195"/>
    <w:bookmarkStart w:name="1177385899" w:id="1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по _________________________ (договор N _____)</w:t>
      </w:r>
    </w:p>
    <w:bookmarkEnd w:id="196"/>
    <w:bookmarkStart w:name="1177385900" w:id="1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(наименование абонента)</w:t>
      </w:r>
    </w:p>
    <w:bookmarkEnd w:id="197"/>
    <w:bookmarkStart w:name="1177385901" w:id="198"/>
    <w:tbl>
      <w:tblPr>
        <w:tblW w:w="1400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666"/>
        <w:gridCol w:w="2268"/>
        <w:gridCol w:w="7066"/>
      </w:tblGrid>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Часы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Активная мощность (кВт)</w:t>
            </w: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00.00 – 01.00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01.00 – 02.00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02.00 – 03.00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Р3</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03.00 – 04.00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Р4</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04.00 – 05.00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Р5</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05.00 – 06.00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Р6</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 06.00 – 07.00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Р7</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07.00 – 08.00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Р8</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08.00 – 09.00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Р9</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09.00 – 10.00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Р10</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 10.00 – 11.00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Р11</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11.00 – 12.00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Р12</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 12.00 – 13.00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Р13</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 13.00 – 14.00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Р14</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14.00 – 15.00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Р15</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 15.00 – 16.00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Р16</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 16.00 – 17.00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Р17</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 17.00 – 18.00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Р18</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 18.00 – 19.00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Р19</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19.00 – 20.00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Р20</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 20.00 – 21.00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Р21</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 21.00 – 22.00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Р22</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 22.00 – 23.00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Р23</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 23.00 – 24.00</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Р24</w:t>
            </w: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tc>
        <w:tc>
          <w:tcPr>
            <w:tcW w:w="2268" w:type="dxa"/>
            <w:tcBorders>
              <w:top w:val="outset" w:color="000000" w:sz="8"/>
              <w:left w:val="outset" w:color="000000" w:sz="8"/>
              <w:bottom w:val="outset" w:color="000000" w:sz="8"/>
              <w:right w:val="outset" w:color="000000" w:sz="8"/>
            </w:tcBorders>
            <w:vAlign w:val="center"/>
          </w:tcPr>
          <w:p/>
        </w:tc>
        <w:tc>
          <w:tcPr>
            <w:tcW w:w="7066" w:type="dxa"/>
            <w:tcBorders>
              <w:top w:val="outset" w:color="000000" w:sz="8"/>
              <w:left w:val="outset" w:color="000000" w:sz="8"/>
              <w:bottom w:val="outset" w:color="000000" w:sz="8"/>
              <w:right w:val="outset" w:color="000000" w:sz="8"/>
            </w:tcBorders>
            <w:vAlign w:val="center"/>
          </w:tcPr>
          <w:p/>
        </w:tc>
      </w:tr>
      <w:tr>
        <w:trPr>
          <w:trHeight w:val="45" w:hRule="atLeast"/>
        </w:trPr>
        <w:tc>
          <w:tcPr>
            <w:tcW w:w="46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Суточный расход электроэнергии</w:t>
            </w:r>
          </w:p>
        </w:tc>
        <w:tc>
          <w:tcPr>
            <w:tcW w:w="22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Асут</w:t>
            </w:r>
          </w:p>
        </w:tc>
        <w:tc>
          <w:tcPr>
            <w:tcW w:w="7066" w:type="dxa"/>
            <w:tcBorders>
              <w:top w:val="outset" w:color="000000" w:sz="8"/>
              <w:left w:val="outset" w:color="000000" w:sz="8"/>
              <w:bottom w:val="outset" w:color="000000" w:sz="8"/>
              <w:right w:val="outset" w:color="000000" w:sz="8"/>
            </w:tcBorders>
            <w:vAlign w:val="center"/>
          </w:tcPr>
          <w:p/>
        </w:tc>
      </w:tr>
    </w:tbl>
    <w:bookmarkEnd w:id="198"/>
    <w:bookmarkStart w:name="1177385902" w:id="1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Руководитель _____________________ подпись М.П.</w:t>
      </w:r>
    </w:p>
    <w:bookmarkEnd w:id="199"/>
    <w:bookmarkStart w:name="1177385903" w:id="200"/>
    <w:p>
      <w:pPr>
        <w:spacing w:before="120" w:after="12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по зонам суток и (или) в зависимости</w:t>
      </w:r>
      <w:r>
        <w:br/>
      </w:r>
      <w:r>
        <w:rPr>
          <w:rFonts w:hint="default" w:ascii="Times New Roman" w:hAnsi="Times New Roman"/>
          <w:b/>
          <w:i w:val="false"/>
          <w:color w:val="000000"/>
          <w:sz w:val="24"/>
        </w:rPr>
        <w:t>
 от объемов ее потребления</w:t>
      </w:r>
      <w:r>
        <w:br/>
      </w:r>
      <w:r>
        <w:rPr>
          <w:rFonts w:hint="default" w:ascii="Times New Roman" w:hAnsi="Times New Roman"/>
          <w:b/>
          <w:i w:val="false"/>
          <w:color w:val="000000"/>
          <w:sz w:val="24"/>
        </w:rPr>
        <w:t>
 физическими лицами</w:t>
      </w:r>
    </w:p>
    <w:bookmarkEnd w:id="200"/>
    <w:bookmarkStart w:name="1177385904" w:id="201"/>
    <w:p>
      <w:pPr>
        <w:spacing w:before="120" w:after="120" w:line="240"/>
        <w:ind w:left="0"/>
        <w:jc w:val="both"/>
      </w:pPr>
      <w:r>
        <w:rPr>
          <w:b/>
          <w:i w:val="false"/>
          <w:color w:val="000000"/>
          <w:sz w:val="24"/>
        </w:rPr>
        <w:t>  График</w:t>
      </w:r>
    </w:p>
    <w:bookmarkEnd w:id="201"/>
    <w:bookmarkStart w:name="1177385905" w:id="202"/>
    <w:p>
      <w:pPr>
        <w:spacing w:before="120" w:after="120" w:line="240"/>
        <w:ind w:left="0"/>
        <w:jc w:val="both"/>
      </w:pPr>
      <w:r>
        <w:rPr>
          <w:b/>
          <w:i w:val="false"/>
          <w:color w:val="000000"/>
          <w:sz w:val="24"/>
        </w:rPr>
        <w:t>  потребления электрической энергии в режимный день</w:t>
      </w:r>
    </w:p>
    <w:bookmarkEnd w:id="202"/>
    <w:bookmarkStart w:name="1177385906" w:id="203"/>
    <w:p>
      <w:pPr>
        <w:spacing w:before="120" w:after="120" w:line="240"/>
        <w:ind w:left="0"/>
        <w:jc w:val="both"/>
      </w:pPr>
      <w:r>
        <w:rPr>
          <w:rFonts w:hint="default" w:ascii="Times New Roman" w:hAnsi="Times New Roman"/>
          <w:b/>
          <w:i w:val="false"/>
          <w:color w:val="000000"/>
          <w:sz w:val="24"/>
        </w:rPr>
        <w:t>__________________ 20 __ г.</w:t>
      </w:r>
    </w:p>
    <w:bookmarkEnd w:id="203"/>
    <w:bookmarkStart w:name="1177385907" w:id="204"/>
    <w:p>
      <w:pPr>
        <w:spacing w:before="120" w:after="120" w:line="240"/>
        <w:ind w:left="0"/>
        <w:jc w:val="center"/>
      </w:pPr>
      <w:r>
        <w:drawing>
          <wp:inline distT="0" distB="0" distL="0" distR="0">
            <wp:extent cx="80391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039100" cy="5181600"/>
                    </a:xfrm>
                    <a:prstGeom prst="rect">
                      <a:avLst/>
                    </a:prstGeom>
                  </pic:spPr>
                </pic:pic>
              </a:graphicData>
            </a:graphic>
          </wp:inline>
        </w:drawing>
      </w:r>
    </w:p>
    <w:bookmarkEnd w:id="204"/>
    <w:bookmarkStart w:name="1177385908"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дифференцированные тарифы по зонам суток:</w:t>
      </w:r>
    </w:p>
    <w:bookmarkEnd w:id="205"/>
    <w:bookmarkStart w:name="1177385909"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вечернего потребления – с 19 до 23 часов</w:t>
      </w:r>
    </w:p>
    <w:bookmarkEnd w:id="206"/>
    <w:bookmarkStart w:name="1177385910"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дневного потребления – с 7 до 19 часов</w:t>
      </w:r>
    </w:p>
    <w:bookmarkEnd w:id="207"/>
    <w:bookmarkStart w:name="1177385911"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ночного потребления – с 23 до 7 часов</w:t>
      </w:r>
    </w:p>
    <w:bookmarkEnd w:id="208"/>
    <w:bookmarkStart w:name="1177385912"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дифференцированные тарифы по зонам суток:</w:t>
      </w:r>
    </w:p>
    <w:bookmarkEnd w:id="209"/>
    <w:bookmarkStart w:name="1177385913"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дневного потребления – с 7 до 23 часов</w:t>
      </w:r>
    </w:p>
    <w:bookmarkEnd w:id="210"/>
    <w:bookmarkStart w:name="1177385914"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ночного потребления – с 23 до 7 часов</w:t>
      </w:r>
    </w:p>
    <w:bookmarkEnd w:id="211"/>
    <w:bookmarkStart w:name="1177385915" w:id="212"/>
    <w:p>
      <w:pPr>
        <w:spacing w:before="120" w:after="120" w:line="240"/>
        <w:ind w:left="0"/>
        <w:jc w:val="right"/>
      </w:pPr>
      <w:r>
        <w:rPr>
          <w:rFonts w:hint="default" w:ascii="Times New Roman" w:hAnsi="Times New Roman"/>
          <w:b/>
          <w:i w:val="false"/>
          <w:color w:val="000000"/>
          <w:sz w:val="24"/>
        </w:rPr>
        <w:t>Приложение 4</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по зонам суток и (или) в зависимости</w:t>
      </w:r>
      <w:r>
        <w:br/>
      </w:r>
      <w:r>
        <w:rPr>
          <w:rFonts w:hint="default" w:ascii="Times New Roman" w:hAnsi="Times New Roman"/>
          <w:b/>
          <w:i w:val="false"/>
          <w:color w:val="000000"/>
          <w:sz w:val="24"/>
        </w:rPr>
        <w:t>
 от объемов ее потребления</w:t>
      </w:r>
      <w:r>
        <w:br/>
      </w:r>
      <w:r>
        <w:rPr>
          <w:rFonts w:hint="default" w:ascii="Times New Roman" w:hAnsi="Times New Roman"/>
          <w:b/>
          <w:i w:val="false"/>
          <w:color w:val="000000"/>
          <w:sz w:val="24"/>
        </w:rPr>
        <w:t>
 физическими лицами</w:t>
      </w:r>
    </w:p>
    <w:bookmarkEnd w:id="212"/>
    <w:bookmarkStart w:name="1177385916" w:id="213"/>
    <w:tbl>
      <w:tblPr>
        <w:tblW w:w="1400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095"/>
        <w:gridCol w:w="1533"/>
        <w:gridCol w:w="547"/>
        <w:gridCol w:w="744"/>
        <w:gridCol w:w="503"/>
        <w:gridCol w:w="591"/>
        <w:gridCol w:w="613"/>
        <w:gridCol w:w="657"/>
        <w:gridCol w:w="613"/>
        <w:gridCol w:w="526"/>
        <w:gridCol w:w="701"/>
        <w:gridCol w:w="657"/>
        <w:gridCol w:w="484"/>
        <w:gridCol w:w="679"/>
        <w:gridCol w:w="2039"/>
        <w:gridCol w:w="2018"/>
      </w:tblGrid>
      <w:tr>
        <w:trPr>
          <w:trHeight w:val="45" w:hRule="atLeast"/>
        </w:trPr>
        <w:tc>
          <w:tcPr>
            <w:tcW w:w="10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Лице- вой счет або- нента</w:t>
            </w:r>
          </w:p>
        </w:tc>
        <w:tc>
          <w:tcPr>
            <w:tcW w:w="15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Коли- чество прожи- вающих физи- ческих лиц</w:t>
            </w:r>
          </w:p>
        </w:tc>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Объем потребления за отчетный год, помесячно</w:t>
            </w:r>
          </w:p>
        </w:tc>
        <w:tc>
          <w:tcPr>
            <w:tcW w:w="20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Объем потреб- ления за отчетный год, всего</w:t>
            </w:r>
          </w:p>
        </w:tc>
        <w:tc>
          <w:tcPr>
            <w:tcW w:w="2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Средне- месячное потреб- ление</w:t>
            </w:r>
          </w:p>
        </w:tc>
      </w:tr>
      <w:tr>
        <w:trPr>
          <w:trHeight w:val="45" w:hRule="atLeast"/>
        </w:trPr>
        <w:tc>
          <w:tcPr>
            <w:tcW w:w="1095" w:type="dxa"/>
            <w:tcBorders>
              <w:top w:val="outset" w:color="000000" w:sz="8"/>
              <w:left w:val="outset" w:color="000000" w:sz="8"/>
              <w:bottom w:val="outset" w:color="000000" w:sz="8"/>
              <w:right w:val="outset" w:color="000000" w:sz="8"/>
            </w:tcBorders>
            <w:vAlign w:val="center"/>
          </w:tcPr>
          <w:p/>
        </w:tc>
        <w:tc>
          <w:tcPr>
            <w:tcW w:w="1533" w:type="dxa"/>
            <w:tcBorders>
              <w:top w:val="outset" w:color="000000" w:sz="8"/>
              <w:left w:val="outset" w:color="000000" w:sz="8"/>
              <w:bottom w:val="outset" w:color="000000" w:sz="8"/>
              <w:right w:val="outset" w:color="000000" w:sz="8"/>
            </w:tcBorders>
            <w:vAlign w:val="center"/>
          </w:tcPr>
          <w:p/>
        </w:tc>
        <w:tc>
          <w:tcPr>
            <w:tcW w:w="5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Я н в а р ь</w:t>
            </w:r>
          </w:p>
        </w:tc>
        <w:tc>
          <w:tcPr>
            <w:tcW w:w="74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 е в р а л ь</w:t>
            </w:r>
          </w:p>
        </w:tc>
        <w:tc>
          <w:tcPr>
            <w:tcW w:w="5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 а р т</w:t>
            </w:r>
          </w:p>
        </w:tc>
        <w:tc>
          <w:tcPr>
            <w:tcW w:w="5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п р е л ь</w:t>
            </w:r>
          </w:p>
        </w:tc>
        <w:tc>
          <w:tcPr>
            <w:tcW w:w="6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 а й</w:t>
            </w:r>
          </w:p>
        </w:tc>
        <w:tc>
          <w:tcPr>
            <w:tcW w:w="6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 ю н ь</w:t>
            </w:r>
          </w:p>
        </w:tc>
        <w:tc>
          <w:tcPr>
            <w:tcW w:w="6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 ю л ь</w:t>
            </w:r>
          </w:p>
        </w:tc>
        <w:tc>
          <w:tcPr>
            <w:tcW w:w="5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в г у с т</w:t>
            </w:r>
          </w:p>
        </w:tc>
        <w:tc>
          <w:tcPr>
            <w:tcW w:w="7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 е н т я б р ь</w:t>
            </w:r>
          </w:p>
        </w:tc>
        <w:tc>
          <w:tcPr>
            <w:tcW w:w="6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 к т я б р ь</w:t>
            </w:r>
          </w:p>
        </w:tc>
        <w:tc>
          <w:tcPr>
            <w:tcW w:w="4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 о я б р ь</w:t>
            </w:r>
          </w:p>
        </w:tc>
        <w:tc>
          <w:tcPr>
            <w:tcW w:w="6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 е к а б р ь</w:t>
            </w:r>
          </w:p>
        </w:tc>
        <w:tc>
          <w:tcPr>
            <w:tcW w:w="2039" w:type="dxa"/>
            <w:tcBorders>
              <w:top w:val="outset" w:color="000000" w:sz="8"/>
              <w:left w:val="outset" w:color="000000" w:sz="8"/>
              <w:bottom w:val="outset" w:color="000000" w:sz="8"/>
              <w:right w:val="outset" w:color="000000" w:sz="8"/>
            </w:tcBorders>
            <w:vAlign w:val="center"/>
          </w:tcPr>
          <w:p/>
        </w:tc>
        <w:tc>
          <w:tcPr>
            <w:tcW w:w="2018" w:type="dxa"/>
            <w:tcBorders>
              <w:top w:val="outset" w:color="000000" w:sz="8"/>
              <w:left w:val="outset" w:color="000000" w:sz="8"/>
              <w:bottom w:val="outset" w:color="000000" w:sz="8"/>
              <w:right w:val="outset" w:color="000000" w:sz="8"/>
            </w:tcBorders>
            <w:vAlign w:val="center"/>
          </w:tcPr>
          <w:p/>
        </w:tc>
      </w:tr>
      <w:tr>
        <w:trPr>
          <w:trHeight w:val="45" w:hRule="atLeast"/>
        </w:trPr>
        <w:tc>
          <w:tcPr>
            <w:tcW w:w="1095" w:type="dxa"/>
            <w:tcBorders>
              <w:top w:val="outset" w:color="000000" w:sz="8"/>
              <w:left w:val="outset" w:color="000000" w:sz="8"/>
              <w:bottom w:val="outset" w:color="000000" w:sz="8"/>
              <w:right w:val="outset" w:color="000000" w:sz="8"/>
            </w:tcBorders>
            <w:vAlign w:val="center"/>
          </w:tcPr>
          <w:p/>
        </w:tc>
        <w:tc>
          <w:tcPr>
            <w:tcW w:w="1533" w:type="dxa"/>
            <w:tcBorders>
              <w:top w:val="outset" w:color="000000" w:sz="8"/>
              <w:left w:val="outset" w:color="000000" w:sz="8"/>
              <w:bottom w:val="outset" w:color="000000" w:sz="8"/>
              <w:right w:val="outset" w:color="000000" w:sz="8"/>
            </w:tcBorders>
            <w:vAlign w:val="center"/>
          </w:tcPr>
          <w:p/>
        </w:tc>
        <w:tc>
          <w:tcPr>
            <w:tcW w:w="547" w:type="dxa"/>
            <w:tcBorders>
              <w:top w:val="outset" w:color="000000" w:sz="8"/>
              <w:left w:val="outset" w:color="000000" w:sz="8"/>
              <w:bottom w:val="outset" w:color="000000" w:sz="8"/>
              <w:right w:val="outset" w:color="000000" w:sz="8"/>
            </w:tcBorders>
            <w:vAlign w:val="center"/>
          </w:tcPr>
          <w:p/>
        </w:tc>
        <w:tc>
          <w:tcPr>
            <w:tcW w:w="744" w:type="dxa"/>
            <w:tcBorders>
              <w:top w:val="outset" w:color="000000" w:sz="8"/>
              <w:left w:val="outset" w:color="000000" w:sz="8"/>
              <w:bottom w:val="outset" w:color="000000" w:sz="8"/>
              <w:right w:val="outset" w:color="000000" w:sz="8"/>
            </w:tcBorders>
            <w:vAlign w:val="center"/>
          </w:tcPr>
          <w:p/>
        </w:tc>
        <w:tc>
          <w:tcPr>
            <w:tcW w:w="503" w:type="dxa"/>
            <w:tcBorders>
              <w:top w:val="outset" w:color="000000" w:sz="8"/>
              <w:left w:val="outset" w:color="000000" w:sz="8"/>
              <w:bottom w:val="outset" w:color="000000" w:sz="8"/>
              <w:right w:val="outset" w:color="000000" w:sz="8"/>
            </w:tcBorders>
            <w:vAlign w:val="center"/>
          </w:tcPr>
          <w:p/>
        </w:tc>
        <w:tc>
          <w:tcPr>
            <w:tcW w:w="591" w:type="dxa"/>
            <w:tcBorders>
              <w:top w:val="outset" w:color="000000" w:sz="8"/>
              <w:left w:val="outset" w:color="000000" w:sz="8"/>
              <w:bottom w:val="outset" w:color="000000" w:sz="8"/>
              <w:right w:val="outset" w:color="000000" w:sz="8"/>
            </w:tcBorders>
            <w:vAlign w:val="center"/>
          </w:tcPr>
          <w:p/>
        </w:tc>
        <w:tc>
          <w:tcPr>
            <w:tcW w:w="613" w:type="dxa"/>
            <w:tcBorders>
              <w:top w:val="outset" w:color="000000" w:sz="8"/>
              <w:left w:val="outset" w:color="000000" w:sz="8"/>
              <w:bottom w:val="outset" w:color="000000" w:sz="8"/>
              <w:right w:val="outset" w:color="000000" w:sz="8"/>
            </w:tcBorders>
            <w:vAlign w:val="center"/>
          </w:tcPr>
          <w:p/>
        </w:tc>
        <w:tc>
          <w:tcPr>
            <w:tcW w:w="657" w:type="dxa"/>
            <w:tcBorders>
              <w:top w:val="outset" w:color="000000" w:sz="8"/>
              <w:left w:val="outset" w:color="000000" w:sz="8"/>
              <w:bottom w:val="outset" w:color="000000" w:sz="8"/>
              <w:right w:val="outset" w:color="000000" w:sz="8"/>
            </w:tcBorders>
            <w:vAlign w:val="center"/>
          </w:tcPr>
          <w:p/>
        </w:tc>
        <w:tc>
          <w:tcPr>
            <w:tcW w:w="613" w:type="dxa"/>
            <w:tcBorders>
              <w:top w:val="outset" w:color="000000" w:sz="8"/>
              <w:left w:val="outset" w:color="000000" w:sz="8"/>
              <w:bottom w:val="outset" w:color="000000" w:sz="8"/>
              <w:right w:val="outset" w:color="000000" w:sz="8"/>
            </w:tcBorders>
            <w:vAlign w:val="center"/>
          </w:tcPr>
          <w:p/>
        </w:tc>
        <w:tc>
          <w:tcPr>
            <w:tcW w:w="526" w:type="dxa"/>
            <w:tcBorders>
              <w:top w:val="outset" w:color="000000" w:sz="8"/>
              <w:left w:val="outset" w:color="000000" w:sz="8"/>
              <w:bottom w:val="outset" w:color="000000" w:sz="8"/>
              <w:right w:val="outset" w:color="000000" w:sz="8"/>
            </w:tcBorders>
            <w:vAlign w:val="center"/>
          </w:tcPr>
          <w:p/>
        </w:tc>
        <w:tc>
          <w:tcPr>
            <w:tcW w:w="701" w:type="dxa"/>
            <w:tcBorders>
              <w:top w:val="outset" w:color="000000" w:sz="8"/>
              <w:left w:val="outset" w:color="000000" w:sz="8"/>
              <w:bottom w:val="outset" w:color="000000" w:sz="8"/>
              <w:right w:val="outset" w:color="000000" w:sz="8"/>
            </w:tcBorders>
            <w:vAlign w:val="center"/>
          </w:tcPr>
          <w:p/>
        </w:tc>
        <w:tc>
          <w:tcPr>
            <w:tcW w:w="657" w:type="dxa"/>
            <w:tcBorders>
              <w:top w:val="outset" w:color="000000" w:sz="8"/>
              <w:left w:val="outset" w:color="000000" w:sz="8"/>
              <w:bottom w:val="outset" w:color="000000" w:sz="8"/>
              <w:right w:val="outset" w:color="000000" w:sz="8"/>
            </w:tcBorders>
            <w:vAlign w:val="center"/>
          </w:tcPr>
          <w:p/>
        </w:tc>
        <w:tc>
          <w:tcPr>
            <w:tcW w:w="484" w:type="dxa"/>
            <w:tcBorders>
              <w:top w:val="outset" w:color="000000" w:sz="8"/>
              <w:left w:val="outset" w:color="000000" w:sz="8"/>
              <w:bottom w:val="outset" w:color="000000" w:sz="8"/>
              <w:right w:val="outset" w:color="000000" w:sz="8"/>
            </w:tcBorders>
            <w:vAlign w:val="center"/>
          </w:tcPr>
          <w:p/>
        </w:tc>
        <w:tc>
          <w:tcPr>
            <w:tcW w:w="679" w:type="dxa"/>
            <w:tcBorders>
              <w:top w:val="outset" w:color="000000" w:sz="8"/>
              <w:left w:val="outset" w:color="000000" w:sz="8"/>
              <w:bottom w:val="outset" w:color="000000" w:sz="8"/>
              <w:right w:val="outset" w:color="000000" w:sz="8"/>
            </w:tcBorders>
            <w:vAlign w:val="center"/>
          </w:tcPr>
          <w:p/>
        </w:tc>
        <w:tc>
          <w:tcPr>
            <w:tcW w:w="2039" w:type="dxa"/>
            <w:tcBorders>
              <w:top w:val="outset" w:color="000000" w:sz="8"/>
              <w:left w:val="outset" w:color="000000" w:sz="8"/>
              <w:bottom w:val="outset" w:color="000000" w:sz="8"/>
              <w:right w:val="outset" w:color="000000" w:sz="8"/>
            </w:tcBorders>
            <w:vAlign w:val="center"/>
          </w:tcPr>
          <w:p/>
        </w:tc>
        <w:tc>
          <w:tcPr>
            <w:tcW w:w="2018" w:type="dxa"/>
            <w:tcBorders>
              <w:top w:val="outset" w:color="000000" w:sz="8"/>
              <w:left w:val="outset" w:color="000000" w:sz="8"/>
              <w:bottom w:val="outset" w:color="000000" w:sz="8"/>
              <w:right w:val="outset" w:color="000000" w:sz="8"/>
            </w:tcBorders>
            <w:vAlign w:val="center"/>
          </w:tcPr>
          <w:p/>
        </w:tc>
      </w:tr>
    </w:tbl>
    <w:bookmarkEnd w:id="213"/>
    <w:bookmarkStart w:name="1177385917"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информация представляется в разрезе административных районов (городов), обслуживаемых энергоснабжающей организацией</w:t>
      </w:r>
    </w:p>
    <w:bookmarkEnd w:id="214"/>
    <w:bookmarkStart w:name="1177385918" w:id="215"/>
    <w:p>
      <w:pPr>
        <w:spacing w:before="120" w:after="120" w:line="240"/>
        <w:ind w:left="0"/>
        <w:jc w:val="right"/>
      </w:pPr>
      <w:r>
        <w:rPr>
          <w:rFonts w:hint="default" w:ascii="Times New Roman" w:hAnsi="Times New Roman"/>
          <w:b/>
          <w:i w:val="false"/>
          <w:color w:val="000000"/>
          <w:sz w:val="24"/>
        </w:rPr>
        <w:t>Приложение 5</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по зонам суток и (или) в зависимости</w:t>
      </w:r>
      <w:r>
        <w:br/>
      </w:r>
      <w:r>
        <w:rPr>
          <w:rFonts w:hint="default" w:ascii="Times New Roman" w:hAnsi="Times New Roman"/>
          <w:b/>
          <w:i w:val="false"/>
          <w:color w:val="000000"/>
          <w:sz w:val="24"/>
        </w:rPr>
        <w:t>
 от объемов ее потребления</w:t>
      </w:r>
      <w:r>
        <w:br/>
      </w:r>
      <w:r>
        <w:rPr>
          <w:rFonts w:hint="default" w:ascii="Times New Roman" w:hAnsi="Times New Roman"/>
          <w:b/>
          <w:i w:val="false"/>
          <w:color w:val="000000"/>
          <w:sz w:val="24"/>
        </w:rPr>
        <w:t>
 физическими лицами</w:t>
      </w:r>
    </w:p>
    <w:bookmarkEnd w:id="215"/>
    <w:bookmarkStart w:name="1177385919" w:id="216"/>
    <w:tbl>
      <w:tblPr>
        <w:tblW w:w="1400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523"/>
        <w:gridCol w:w="7477"/>
      </w:tblGrid>
      <w:tr>
        <w:trPr>
          <w:trHeight w:val="45" w:hRule="atLeast"/>
        </w:trPr>
        <w:tc>
          <w:tcPr>
            <w:tcW w:w="65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Объем фактически потребленной электрической энергии за расчетный месяц по показаниям прибора учета в расчете на одного потребителя:</w:t>
            </w:r>
          </w:p>
        </w:tc>
        <w:tc>
          <w:tcPr>
            <w:tcW w:w="74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Формула расчета платы за потребленную электрическую энергию за расчетный месяц</w:t>
            </w:r>
          </w:p>
        </w:tc>
      </w:tr>
      <w:tr>
        <w:trPr>
          <w:trHeight w:val="45" w:hRule="atLeast"/>
        </w:trPr>
        <w:tc>
          <w:tcPr>
            <w:tcW w:w="65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не превышает V</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для соответствующих потребителей</w:t>
            </w:r>
          </w:p>
        </w:tc>
        <w:tc>
          <w:tcPr>
            <w:tcW w:w="74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 = Т</w:t>
            </w:r>
            <w:r>
              <w:rPr>
                <w:rFonts w:hint="default" w:ascii="Times New Roman" w:hAnsi="Times New Roman"/>
                <w:b w:val="false"/>
                <w:i w:val="false"/>
                <w:color w:val="000000"/>
                <w:vertAlign w:val="subscript"/>
              </w:rPr>
              <w:t>1</w:t>
            </w:r>
            <w:r>
              <w:rPr>
                <w:rFonts w:hint="default" w:ascii="Times New Roman" w:hAnsi="Times New Roman"/>
                <w:b w:val="false"/>
                <w:i w:val="false"/>
                <w:color w:val="000000"/>
                <w:sz w:val="24"/>
              </w:rPr>
              <w:t xml:space="preserve"> * Wфакт, где:</w:t>
            </w:r>
          </w:p>
          <w:p>
            <w:pPr>
              <w:spacing w:after="0"/>
              <w:ind w:left="0"/>
              <w:jc w:val="left"/>
            </w:pPr>
            <w:r>
              <w:rPr>
                <w:rFonts w:hint="default" w:ascii="Times New Roman" w:hAnsi="Times New Roman"/>
                <w:b w:val="false"/>
                <w:i w:val="false"/>
                <w:color w:val="000000"/>
                <w:sz w:val="24"/>
              </w:rPr>
              <w:t>W</w:t>
            </w:r>
            <w:r>
              <w:rPr>
                <w:rFonts w:hint="default" w:ascii="Times New Roman" w:hAnsi="Times New Roman"/>
                <w:b w:val="false"/>
                <w:i w:val="false"/>
                <w:color w:val="000000"/>
                <w:vertAlign w:val="subscript"/>
              </w:rPr>
              <w:t>факт</w:t>
            </w:r>
            <w:r>
              <w:rPr>
                <w:rFonts w:hint="default" w:ascii="Times New Roman" w:hAnsi="Times New Roman"/>
                <w:b w:val="false"/>
                <w:i w:val="false"/>
                <w:color w:val="000000"/>
                <w:sz w:val="24"/>
              </w:rPr>
              <w:t xml:space="preserve"> – фактический объем потребленной электрической энергии за расчетный месяц по показаниям прибора учета, кВт.ч</w:t>
            </w:r>
          </w:p>
        </w:tc>
      </w:tr>
      <w:tr>
        <w:trPr>
          <w:trHeight w:val="45" w:hRule="atLeast"/>
        </w:trPr>
        <w:tc>
          <w:tcPr>
            <w:tcW w:w="65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превышает V</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 но меньше V</w:t>
            </w:r>
            <w:r>
              <w:rPr>
                <w:rFonts w:hint="default" w:ascii="Times New Roman" w:hAnsi="Times New Roman"/>
                <w:b w:val="false"/>
                <w:i w:val="false"/>
                <w:color w:val="000000"/>
                <w:vertAlign w:val="subscript"/>
              </w:rPr>
              <w:t>3</w:t>
            </w:r>
            <w:r>
              <w:rPr>
                <w:rFonts w:hint="default" w:ascii="Times New Roman" w:hAnsi="Times New Roman"/>
                <w:b w:val="false"/>
                <w:i w:val="false"/>
                <w:color w:val="000000"/>
                <w:sz w:val="24"/>
              </w:rPr>
              <w:t xml:space="preserve"> для соответствующих потребителей</w:t>
            </w:r>
          </w:p>
        </w:tc>
        <w:tc>
          <w:tcPr>
            <w:tcW w:w="74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 = Т</w:t>
            </w:r>
            <w:r>
              <w:rPr>
                <w:rFonts w:hint="default" w:ascii="Times New Roman" w:hAnsi="Times New Roman"/>
                <w:b w:val="false"/>
                <w:i w:val="false"/>
                <w:color w:val="000000"/>
                <w:vertAlign w:val="subscript"/>
              </w:rPr>
              <w:t>1</w:t>
            </w:r>
            <w:r>
              <w:rPr>
                <w:rFonts w:hint="default" w:ascii="Times New Roman" w:hAnsi="Times New Roman"/>
                <w:b w:val="false"/>
                <w:i w:val="false"/>
                <w:color w:val="000000"/>
                <w:sz w:val="24"/>
              </w:rPr>
              <w:t xml:space="preserve"> * n * W</w:t>
            </w:r>
            <w:r>
              <w:rPr>
                <w:rFonts w:hint="default" w:ascii="Times New Roman" w:hAnsi="Times New Roman"/>
                <w:b w:val="false"/>
                <w:i w:val="false"/>
                <w:color w:val="000000"/>
                <w:vertAlign w:val="subscript"/>
              </w:rPr>
              <w:t>уст1</w:t>
            </w:r>
            <w:r>
              <w:rPr>
                <w:rFonts w:hint="default" w:ascii="Times New Roman" w:hAnsi="Times New Roman"/>
                <w:b w:val="false"/>
                <w:i w:val="false"/>
                <w:color w:val="000000"/>
                <w:sz w:val="24"/>
              </w:rPr>
              <w:t xml:space="preserve"> + Т</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*(W</w:t>
            </w:r>
            <w:r>
              <w:rPr>
                <w:rFonts w:hint="default" w:ascii="Times New Roman" w:hAnsi="Times New Roman"/>
                <w:b w:val="false"/>
                <w:i w:val="false"/>
                <w:color w:val="000000"/>
                <w:vertAlign w:val="subscript"/>
              </w:rPr>
              <w:t>факт</w:t>
            </w:r>
            <w:r>
              <w:rPr>
                <w:rFonts w:hint="default" w:ascii="Times New Roman" w:hAnsi="Times New Roman"/>
                <w:b w:val="false"/>
                <w:i w:val="false"/>
                <w:color w:val="000000"/>
                <w:sz w:val="24"/>
              </w:rPr>
              <w:t xml:space="preserve"> - n * W</w:t>
            </w:r>
            <w:r>
              <w:rPr>
                <w:rFonts w:hint="default" w:ascii="Times New Roman" w:hAnsi="Times New Roman"/>
                <w:b w:val="false"/>
                <w:i w:val="false"/>
                <w:color w:val="000000"/>
                <w:vertAlign w:val="subscript"/>
              </w:rPr>
              <w:t>уст1</w:t>
            </w:r>
            <w:r>
              <w:rPr>
                <w:rFonts w:hint="default" w:ascii="Times New Roman" w:hAnsi="Times New Roman"/>
                <w:b w:val="false"/>
                <w:i w:val="false"/>
                <w:color w:val="000000"/>
                <w:sz w:val="24"/>
              </w:rPr>
              <w:t xml:space="preserve"> ), где:</w:t>
            </w:r>
          </w:p>
          <w:p>
            <w:pPr>
              <w:spacing w:after="0"/>
              <w:ind w:left="0"/>
              <w:jc w:val="left"/>
            </w:pPr>
            <w:r>
              <w:rPr>
                <w:rFonts w:hint="default" w:ascii="Times New Roman" w:hAnsi="Times New Roman"/>
                <w:b w:val="false"/>
                <w:i w:val="false"/>
                <w:color w:val="000000"/>
                <w:sz w:val="24"/>
              </w:rPr>
              <w:t>n – количество проживающих физических лиц, W</w:t>
            </w:r>
            <w:r>
              <w:rPr>
                <w:rFonts w:hint="default" w:ascii="Times New Roman" w:hAnsi="Times New Roman"/>
                <w:b w:val="false"/>
                <w:i w:val="false"/>
                <w:color w:val="000000"/>
                <w:vertAlign w:val="subscript"/>
              </w:rPr>
              <w:t>уст1</w:t>
            </w:r>
            <w:r>
              <w:rPr>
                <w:rFonts w:hint="default" w:ascii="Times New Roman" w:hAnsi="Times New Roman"/>
                <w:b w:val="false"/>
                <w:i w:val="false"/>
                <w:color w:val="000000"/>
                <w:sz w:val="24"/>
              </w:rPr>
              <w:t xml:space="preserve"> – величина потребления электрической энергии одним физическим лицом, соответствующая величине первого уровня, кВт.ч</w:t>
            </w:r>
          </w:p>
        </w:tc>
      </w:tr>
      <w:tr>
        <w:trPr>
          <w:trHeight w:val="45" w:hRule="atLeast"/>
        </w:trPr>
        <w:tc>
          <w:tcPr>
            <w:tcW w:w="65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превышает V</w:t>
            </w:r>
            <w:r>
              <w:rPr>
                <w:rFonts w:hint="default" w:ascii="Times New Roman" w:hAnsi="Times New Roman"/>
                <w:b w:val="false"/>
                <w:i w:val="false"/>
                <w:color w:val="000000"/>
                <w:vertAlign w:val="subscript"/>
              </w:rPr>
              <w:t>3</w:t>
            </w:r>
            <w:r>
              <w:rPr>
                <w:rFonts w:hint="default" w:ascii="Times New Roman" w:hAnsi="Times New Roman"/>
                <w:b w:val="false"/>
                <w:i w:val="false"/>
                <w:color w:val="000000"/>
                <w:sz w:val="24"/>
              </w:rPr>
              <w:t xml:space="preserve"> для соответствующих потребителей</w:t>
            </w:r>
          </w:p>
        </w:tc>
        <w:tc>
          <w:tcPr>
            <w:tcW w:w="74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 = Т</w:t>
            </w:r>
            <w:r>
              <w:rPr>
                <w:rFonts w:hint="default" w:ascii="Times New Roman" w:hAnsi="Times New Roman"/>
                <w:b w:val="false"/>
                <w:i w:val="false"/>
                <w:color w:val="000000"/>
                <w:vertAlign w:val="subscript"/>
              </w:rPr>
              <w:t>1</w:t>
            </w:r>
            <w:r>
              <w:rPr>
                <w:rFonts w:hint="default" w:ascii="Times New Roman" w:hAnsi="Times New Roman"/>
                <w:b w:val="false"/>
                <w:i w:val="false"/>
                <w:color w:val="000000"/>
                <w:sz w:val="24"/>
              </w:rPr>
              <w:t xml:space="preserve"> * n * W</w:t>
            </w:r>
            <w:r>
              <w:rPr>
                <w:rFonts w:hint="default" w:ascii="Times New Roman" w:hAnsi="Times New Roman"/>
                <w:b w:val="false"/>
                <w:i w:val="false"/>
                <w:color w:val="000000"/>
                <w:vertAlign w:val="subscript"/>
              </w:rPr>
              <w:t>уст1</w:t>
            </w:r>
            <w:r>
              <w:rPr>
                <w:rFonts w:hint="default" w:ascii="Times New Roman" w:hAnsi="Times New Roman"/>
                <w:b w:val="false"/>
                <w:i w:val="false"/>
                <w:color w:val="000000"/>
                <w:sz w:val="24"/>
              </w:rPr>
              <w:t xml:space="preserve"> + Т</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 n * (W</w:t>
            </w:r>
            <w:r>
              <w:rPr>
                <w:rFonts w:hint="default" w:ascii="Times New Roman" w:hAnsi="Times New Roman"/>
                <w:b w:val="false"/>
                <w:i w:val="false"/>
                <w:color w:val="000000"/>
                <w:vertAlign w:val="subscript"/>
              </w:rPr>
              <w:t>уст2</w:t>
            </w:r>
            <w:r>
              <w:rPr>
                <w:rFonts w:hint="default" w:ascii="Times New Roman" w:hAnsi="Times New Roman"/>
                <w:b w:val="false"/>
                <w:i w:val="false"/>
                <w:color w:val="000000"/>
                <w:sz w:val="24"/>
              </w:rPr>
              <w:t xml:space="preserve"> - W</w:t>
            </w:r>
            <w:r>
              <w:rPr>
                <w:rFonts w:hint="default" w:ascii="Times New Roman" w:hAnsi="Times New Roman"/>
                <w:b w:val="false"/>
                <w:i w:val="false"/>
                <w:color w:val="000000"/>
                <w:vertAlign w:val="subscript"/>
              </w:rPr>
              <w:t>уст1</w:t>
            </w:r>
            <w:r>
              <w:rPr>
                <w:rFonts w:hint="default" w:ascii="Times New Roman" w:hAnsi="Times New Roman"/>
                <w:b w:val="false"/>
                <w:i w:val="false"/>
                <w:color w:val="000000"/>
                <w:sz w:val="24"/>
              </w:rPr>
              <w:t xml:space="preserve"> ) + Т</w:t>
            </w:r>
            <w:r>
              <w:rPr>
                <w:rFonts w:hint="default" w:ascii="Times New Roman" w:hAnsi="Times New Roman"/>
                <w:b w:val="false"/>
                <w:i w:val="false"/>
                <w:color w:val="000000"/>
                <w:vertAlign w:val="subscript"/>
              </w:rPr>
              <w:t>3</w:t>
            </w:r>
            <w:r>
              <w:rPr>
                <w:rFonts w:hint="default" w:ascii="Times New Roman" w:hAnsi="Times New Roman"/>
                <w:b w:val="false"/>
                <w:i w:val="false"/>
                <w:color w:val="000000"/>
                <w:sz w:val="24"/>
              </w:rPr>
              <w:t xml:space="preserve"> * (W</w:t>
            </w:r>
            <w:r>
              <w:rPr>
                <w:rFonts w:hint="default" w:ascii="Times New Roman" w:hAnsi="Times New Roman"/>
                <w:b w:val="false"/>
                <w:i w:val="false"/>
                <w:color w:val="000000"/>
                <w:vertAlign w:val="subscript"/>
              </w:rPr>
              <w:t>факт</w:t>
            </w:r>
            <w:r>
              <w:rPr>
                <w:rFonts w:hint="default" w:ascii="Times New Roman" w:hAnsi="Times New Roman"/>
                <w:b w:val="false"/>
                <w:i w:val="false"/>
                <w:color w:val="000000"/>
                <w:sz w:val="24"/>
              </w:rPr>
              <w:t xml:space="preserve"> - n * W</w:t>
            </w:r>
            <w:r>
              <w:rPr>
                <w:rFonts w:hint="default" w:ascii="Times New Roman" w:hAnsi="Times New Roman"/>
                <w:b w:val="false"/>
                <w:i w:val="false"/>
                <w:color w:val="000000"/>
                <w:vertAlign w:val="subscript"/>
              </w:rPr>
              <w:t>уст2</w:t>
            </w:r>
            <w:r>
              <w:rPr>
                <w:rFonts w:hint="default" w:ascii="Times New Roman" w:hAnsi="Times New Roman"/>
                <w:b w:val="false"/>
                <w:i w:val="false"/>
                <w:color w:val="000000"/>
                <w:sz w:val="24"/>
              </w:rPr>
              <w:t xml:space="preserve"> ), где:</w:t>
            </w:r>
          </w:p>
          <w:p>
            <w:pPr>
              <w:spacing w:after="0"/>
              <w:ind w:left="0"/>
              <w:jc w:val="left"/>
            </w:pPr>
            <w:r>
              <w:rPr>
                <w:rFonts w:hint="default" w:ascii="Times New Roman" w:hAnsi="Times New Roman"/>
                <w:b w:val="false"/>
                <w:i w:val="false"/>
                <w:color w:val="000000"/>
                <w:sz w:val="24"/>
              </w:rPr>
              <w:t>W</w:t>
            </w:r>
            <w:r>
              <w:rPr>
                <w:rFonts w:hint="default" w:ascii="Times New Roman" w:hAnsi="Times New Roman"/>
                <w:b w:val="false"/>
                <w:i w:val="false"/>
                <w:color w:val="000000"/>
                <w:vertAlign w:val="subscript"/>
              </w:rPr>
              <w:t>уст2</w:t>
            </w:r>
            <w:r>
              <w:rPr>
                <w:rFonts w:hint="default" w:ascii="Times New Roman" w:hAnsi="Times New Roman"/>
                <w:b w:val="false"/>
                <w:i w:val="false"/>
                <w:color w:val="000000"/>
                <w:sz w:val="24"/>
              </w:rPr>
              <w:t xml:space="preserve"> – величина потребления электрической энергии одним физическим лицом, соответствующая величине второго уровня, кВт.ч</w:t>
            </w:r>
          </w:p>
        </w:tc>
      </w:tr>
    </w:tbl>
    <w:bookmarkEnd w:id="21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410153545" Type="http://schemas.openxmlformats.org/officeDocument/2006/relationships/hyperlink" Id="rId17"/><Relationship TargetMode="External" Target="http://bestprofi.com/home/section/500611043" Type="http://schemas.openxmlformats.org/officeDocument/2006/relationships/hyperlink" Id="rId18"/><Relationship TargetMode="External" Target="http://bestprofi.com/home/section/501585276" Type="http://schemas.openxmlformats.org/officeDocument/2006/relationships/hyperlink" Id="rId19"/><Relationship TargetMode="External" Target="http://bestprofi.com/home/section/501585449" Type="http://schemas.openxmlformats.org/officeDocument/2006/relationships/hyperlink" Id="rId20"/><Relationship TargetMode="External" Target="http://bestprofi.com/home/section/501585632" Type="http://schemas.openxmlformats.org/officeDocument/2006/relationships/hyperlink" Id="rId21"/><Relationship TargetMode="External" Target="http://bestprofi.com/home/section/501585819" Type="http://schemas.openxmlformats.org/officeDocument/2006/relationships/hyperlink" Id="rId22"/><Relationship TargetMode="External" Target="http://bestprofi.com/home/section/501586052" Type="http://schemas.openxmlformats.org/officeDocument/2006/relationships/hyperlink" Id="rId23"/><Relationship TargetMode="External" Target="http://bestprofi.com/home/section/501586803" Type="http://schemas.openxmlformats.org/officeDocument/2006/relationships/hyperlink" Id="rId24"/><Relationship TargetMode="External" Target="http://bestprofi.com/home/section/501586288" Type="http://schemas.openxmlformats.org/officeDocument/2006/relationships/hyperlink" Id="rId25"/><Relationship TargetMode="External" Target="http://bestprofi.com/home/section/521613312" Type="http://schemas.openxmlformats.org/officeDocument/2006/relationships/hyperlink" Id="rId26"/><Relationship TargetMode="External" Target="http://bestprofi.com/home/section/567834846" Type="http://schemas.openxmlformats.org/officeDocument/2006/relationships/hyperlink" Id="rId27"/><Relationship TargetMode="External" Target="http://bestprofi.com/home/section/1168142251" Type="http://schemas.openxmlformats.org/officeDocument/2006/relationships/hyperlink"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ode="External" Target="http://bestprofi.com/home/section/1594224736" Type="http://schemas.openxmlformats.org/officeDocument/2006/relationships/hyperlink" Id="rId32"/><Relationship TargetMode="External" Target="http://bestprofi.com/home/section/1666305450" Type="http://schemas.openxmlformats.org/officeDocument/2006/relationships/hyperlink" Id="rId33"/><Relationship Target="media/document_image_rId34.jpeg" Type="http://schemas.openxmlformats.org/officeDocument/2006/relationships/image" Id="rId3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